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FE0" w:rsidRPr="0055640C" w:rsidRDefault="008B5FE0" w:rsidP="008B5FE0">
      <w:pPr>
        <w:spacing w:after="0" w:line="240" w:lineRule="auto"/>
        <w:jc w:val="center"/>
        <w:rPr>
          <w:rFonts w:ascii="Times New Roman" w:hAnsi="Times New Roman" w:cs="Times New Roman"/>
          <w:b/>
        </w:rPr>
      </w:pPr>
      <w:r w:rsidRPr="0055640C">
        <w:rPr>
          <w:rFonts w:ascii="Times New Roman" w:hAnsi="Times New Roman" w:cs="Times New Roman"/>
          <w:b/>
        </w:rPr>
        <w:t xml:space="preserve">LĪGUMS Nr._____ </w:t>
      </w:r>
    </w:p>
    <w:p w:rsidR="008B5FE0" w:rsidRPr="0055640C" w:rsidRDefault="008B5FE0" w:rsidP="008B5FE0">
      <w:pPr>
        <w:spacing w:after="0" w:line="240" w:lineRule="auto"/>
        <w:jc w:val="center"/>
        <w:rPr>
          <w:rFonts w:ascii="Times New Roman" w:hAnsi="Times New Roman" w:cs="Times New Roman"/>
          <w:b/>
        </w:rPr>
      </w:pPr>
      <w:r w:rsidRPr="0055640C">
        <w:rPr>
          <w:rFonts w:ascii="Times New Roman" w:hAnsi="Times New Roman" w:cs="Times New Roman"/>
          <w:b/>
        </w:rPr>
        <w:t>par elektroenerģijas tirdzniecību</w:t>
      </w:r>
    </w:p>
    <w:p w:rsidR="008B5FE0" w:rsidRPr="0055640C" w:rsidRDefault="008B5FE0" w:rsidP="008B5FE0">
      <w:pPr>
        <w:spacing w:after="0" w:line="240" w:lineRule="auto"/>
        <w:jc w:val="center"/>
        <w:rPr>
          <w:rFonts w:ascii="Times New Roman" w:hAnsi="Times New Roman" w:cs="Times New Roman"/>
          <w:b/>
        </w:rPr>
      </w:pPr>
    </w:p>
    <w:p w:rsidR="008B5FE0" w:rsidRPr="0055640C" w:rsidRDefault="008B5FE0" w:rsidP="008B5FE0">
      <w:pPr>
        <w:autoSpaceDE w:val="0"/>
        <w:autoSpaceDN w:val="0"/>
        <w:adjustRightInd w:val="0"/>
        <w:jc w:val="both"/>
        <w:rPr>
          <w:rFonts w:ascii="Times New Roman" w:hAnsi="Times New Roman" w:cs="Times New Roman"/>
        </w:rPr>
      </w:pPr>
      <w:r w:rsidRPr="0055640C">
        <w:rPr>
          <w:rFonts w:ascii="Times New Roman" w:hAnsi="Times New Roman" w:cs="Times New Roman"/>
        </w:rPr>
        <w:t>Daugavpilī,</w:t>
      </w:r>
      <w:r w:rsidRPr="0055640C">
        <w:rPr>
          <w:rFonts w:ascii="Times New Roman" w:hAnsi="Times New Roman" w:cs="Times New Roman"/>
        </w:rPr>
        <w:tab/>
      </w:r>
      <w:r w:rsidRPr="0055640C">
        <w:rPr>
          <w:rFonts w:ascii="Times New Roman" w:hAnsi="Times New Roman" w:cs="Times New Roman"/>
        </w:rPr>
        <w:tab/>
      </w:r>
      <w:r w:rsidRPr="0055640C">
        <w:rPr>
          <w:rFonts w:ascii="Times New Roman" w:hAnsi="Times New Roman" w:cs="Times New Roman"/>
        </w:rPr>
        <w:tab/>
      </w:r>
      <w:r w:rsidRPr="0055640C">
        <w:rPr>
          <w:rFonts w:ascii="Times New Roman" w:hAnsi="Times New Roman" w:cs="Times New Roman"/>
        </w:rPr>
        <w:tab/>
      </w:r>
      <w:r w:rsidRPr="0055640C">
        <w:rPr>
          <w:rFonts w:ascii="Times New Roman" w:hAnsi="Times New Roman" w:cs="Times New Roman"/>
        </w:rPr>
        <w:tab/>
        <w:t xml:space="preserve">                                         2018. gada 17. janvārī</w:t>
      </w:r>
    </w:p>
    <w:p w:rsidR="008B5FE0" w:rsidRPr="0055640C" w:rsidRDefault="008B5FE0" w:rsidP="008B5FE0">
      <w:pPr>
        <w:ind w:firstLine="720"/>
        <w:jc w:val="both"/>
        <w:rPr>
          <w:rFonts w:ascii="Times New Roman" w:hAnsi="Times New Roman" w:cs="Times New Roman"/>
        </w:rPr>
      </w:pPr>
      <w:r w:rsidRPr="0055640C">
        <w:rPr>
          <w:rFonts w:ascii="Times New Roman" w:hAnsi="Times New Roman" w:cs="Times New Roman"/>
          <w:b/>
        </w:rPr>
        <w:t xml:space="preserve">Sabiedrība ar ierobežotu atbildību “LABIEKĀRTOŠANA-D”, </w:t>
      </w:r>
      <w:r w:rsidRPr="0055640C">
        <w:rPr>
          <w:rFonts w:ascii="Times New Roman" w:hAnsi="Times New Roman" w:cs="Times New Roman"/>
        </w:rPr>
        <w:t xml:space="preserve">reģistrācijas Nr. 41503003033, juridiskā adrese: Daugavpils, 1. Pasažieru iela 6, LV-5401, kuru </w:t>
      </w:r>
      <w:r w:rsidRPr="0055640C">
        <w:rPr>
          <w:rFonts w:ascii="Times New Roman" w:hAnsi="Times New Roman" w:cs="Times New Roman"/>
          <w:lang w:eastAsia="ru-RU"/>
        </w:rPr>
        <w:t xml:space="preserve">saskaņā statūtiem </w:t>
      </w:r>
      <w:r w:rsidRPr="0055640C">
        <w:rPr>
          <w:rFonts w:ascii="Times New Roman" w:hAnsi="Times New Roman" w:cs="Times New Roman"/>
        </w:rPr>
        <w:t xml:space="preserve">pārstāv tās valdes loceklis Nikolajs Ignatjevs, turpmāk - </w:t>
      </w:r>
      <w:r w:rsidRPr="0055640C">
        <w:rPr>
          <w:rFonts w:ascii="Times New Roman" w:hAnsi="Times New Roman" w:cs="Times New Roman"/>
          <w:iCs/>
        </w:rPr>
        <w:t>„LIETOTĀJS”</w:t>
      </w:r>
      <w:r w:rsidRPr="0055640C">
        <w:rPr>
          <w:rFonts w:ascii="Times New Roman" w:hAnsi="Times New Roman" w:cs="Times New Roman"/>
        </w:rPr>
        <w:t>,</w:t>
      </w:r>
      <w:r w:rsidRPr="0055640C">
        <w:rPr>
          <w:rFonts w:ascii="Times New Roman" w:hAnsi="Times New Roman" w:cs="Times New Roman"/>
          <w:iCs/>
        </w:rPr>
        <w:t xml:space="preserve"> no vienas puses,  </w:t>
      </w:r>
      <w:r w:rsidRPr="0055640C">
        <w:rPr>
          <w:rFonts w:ascii="Times New Roman" w:hAnsi="Times New Roman" w:cs="Times New Roman"/>
        </w:rPr>
        <w:t>un</w:t>
      </w:r>
    </w:p>
    <w:p w:rsidR="008B5FE0" w:rsidRPr="0055640C" w:rsidRDefault="008B5FE0" w:rsidP="00D33024">
      <w:pPr>
        <w:ind w:firstLine="720"/>
        <w:jc w:val="both"/>
        <w:rPr>
          <w:rFonts w:ascii="Times New Roman" w:hAnsi="Times New Roman" w:cs="Times New Roman"/>
        </w:rPr>
      </w:pPr>
      <w:r w:rsidRPr="0055640C">
        <w:rPr>
          <w:rFonts w:ascii="Times New Roman" w:hAnsi="Times New Roman" w:cs="Times New Roman"/>
          <w:b/>
        </w:rPr>
        <w:t>SIA INTER RAO Latvia</w:t>
      </w:r>
      <w:r w:rsidRPr="0055640C">
        <w:rPr>
          <w:rFonts w:ascii="Times New Roman" w:hAnsi="Times New Roman" w:cs="Times New Roman"/>
        </w:rPr>
        <w:t xml:space="preserve">, reģistrācijas Nr. </w:t>
      </w:r>
      <w:r w:rsidRPr="0055640C">
        <w:rPr>
          <w:rFonts w:ascii="Times New Roman" w:hAnsi="Times New Roman" w:cs="Times New Roman"/>
          <w:shd w:val="clear" w:color="auto" w:fill="FFFFFF"/>
        </w:rPr>
        <w:t>40103268639</w:t>
      </w:r>
      <w:r w:rsidRPr="0055640C">
        <w:rPr>
          <w:rFonts w:ascii="Times New Roman" w:hAnsi="Times New Roman" w:cs="Times New Roman"/>
        </w:rPr>
        <w:t xml:space="preserve">, </w:t>
      </w:r>
      <w:r w:rsidR="00D33024">
        <w:rPr>
          <w:rFonts w:ascii="Times New Roman" w:hAnsi="Times New Roman" w:cs="Times New Roman"/>
        </w:rPr>
        <w:t xml:space="preserve">juridiskā adrese: </w:t>
      </w:r>
      <w:r w:rsidR="00D33024" w:rsidRPr="00D33024">
        <w:rPr>
          <w:rFonts w:ascii="Times New Roman" w:hAnsi="Times New Roman" w:cs="Times New Roman"/>
        </w:rPr>
        <w:t>Rīga, Gustava Zemgala gatve 76, LV-1039</w:t>
      </w:r>
      <w:r w:rsidR="00F87C99">
        <w:rPr>
          <w:rFonts w:ascii="Times New Roman" w:hAnsi="Times New Roman" w:cs="Times New Roman"/>
        </w:rPr>
        <w:t xml:space="preserve">, </w:t>
      </w:r>
      <w:r w:rsidRPr="0055640C">
        <w:rPr>
          <w:rFonts w:ascii="Times New Roman" w:hAnsi="Times New Roman" w:cs="Times New Roman"/>
        </w:rPr>
        <w:t xml:space="preserve">kuru saskaņā ar </w:t>
      </w:r>
      <w:r w:rsidR="00F87C99">
        <w:rPr>
          <w:rFonts w:ascii="Times New Roman" w:hAnsi="Times New Roman" w:cs="Times New Roman"/>
        </w:rPr>
        <w:t xml:space="preserve">18.05.2017. </w:t>
      </w:r>
      <w:r w:rsidRPr="0055640C">
        <w:rPr>
          <w:rFonts w:ascii="Times New Roman" w:hAnsi="Times New Roman" w:cs="Times New Roman"/>
        </w:rPr>
        <w:t xml:space="preserve">ģenerālpilnvaru Nr. 1-2712 pārstāv rīkotājdirektors Pāvels </w:t>
      </w:r>
      <w:proofErr w:type="spellStart"/>
      <w:r w:rsidRPr="0055640C">
        <w:rPr>
          <w:rFonts w:ascii="Times New Roman" w:hAnsi="Times New Roman" w:cs="Times New Roman"/>
        </w:rPr>
        <w:t>Sosņickis</w:t>
      </w:r>
      <w:proofErr w:type="spellEnd"/>
      <w:r w:rsidRPr="0055640C">
        <w:rPr>
          <w:rFonts w:ascii="Times New Roman" w:hAnsi="Times New Roman" w:cs="Times New Roman"/>
        </w:rPr>
        <w:t>, turpmāk - „TIRGOTĀJS”, no otras puses, turpmāk tekstā PUSES,</w:t>
      </w:r>
    </w:p>
    <w:p w:rsidR="008B5FE0" w:rsidRPr="0055640C" w:rsidRDefault="008B5FE0" w:rsidP="008B5FE0">
      <w:pPr>
        <w:tabs>
          <w:tab w:val="left" w:pos="960"/>
        </w:tabs>
        <w:jc w:val="both"/>
        <w:rPr>
          <w:rFonts w:ascii="Times New Roman" w:eastAsia="Calibri" w:hAnsi="Times New Roman" w:cs="Times New Roman"/>
        </w:rPr>
      </w:pPr>
      <w:r w:rsidRPr="0055640C">
        <w:rPr>
          <w:rFonts w:ascii="Times New Roman" w:eastAsia="Calibri" w:hAnsi="Times New Roman" w:cs="Times New Roman"/>
        </w:rPr>
        <w:t>pamatojoties uz iepirkuma „</w:t>
      </w:r>
      <w:bookmarkStart w:id="0" w:name="_Hlk502763212"/>
      <w:r w:rsidRPr="0055640C">
        <w:rPr>
          <w:rFonts w:ascii="Times New Roman" w:eastAsia="Calibri" w:hAnsi="Times New Roman" w:cs="Times New Roman"/>
        </w:rPr>
        <w:t xml:space="preserve">Elektroenerģijas iegāde </w:t>
      </w:r>
      <w:bookmarkStart w:id="1" w:name="_Hlk501621538"/>
      <w:r w:rsidRPr="0055640C">
        <w:rPr>
          <w:rFonts w:ascii="Times New Roman" w:eastAsia="Calibri" w:hAnsi="Times New Roman" w:cs="Times New Roman"/>
        </w:rPr>
        <w:t xml:space="preserve">SIA “LABIEKĀRTOŠANA-D </w:t>
      </w:r>
      <w:bookmarkEnd w:id="1"/>
      <w:r w:rsidRPr="0055640C">
        <w:rPr>
          <w:rFonts w:ascii="Times New Roman" w:eastAsia="Calibri" w:hAnsi="Times New Roman" w:cs="Times New Roman"/>
        </w:rPr>
        <w:t>vajadzībām</w:t>
      </w:r>
      <w:bookmarkEnd w:id="0"/>
      <w:r w:rsidRPr="0055640C">
        <w:rPr>
          <w:rFonts w:ascii="Times New Roman" w:eastAsia="Calibri" w:hAnsi="Times New Roman" w:cs="Times New Roman"/>
        </w:rPr>
        <w:t xml:space="preserve">”, identifikācijas Nr. L 2018/0, rezultātiem (16.01.2018. protokols Nr.4), turpmāk tekstā </w:t>
      </w:r>
      <w:r w:rsidRPr="0055640C">
        <w:rPr>
          <w:rFonts w:ascii="Times New Roman" w:eastAsia="Calibri" w:hAnsi="Times New Roman" w:cs="Times New Roman"/>
          <w:b/>
        </w:rPr>
        <w:t>„Iepirkums”</w:t>
      </w:r>
      <w:r w:rsidRPr="0055640C">
        <w:rPr>
          <w:rFonts w:ascii="Times New Roman" w:eastAsia="Calibri" w:hAnsi="Times New Roman" w:cs="Times New Roman"/>
        </w:rPr>
        <w:t xml:space="preserve"> un Tirgotāja iesniegto piedāvājumu, izsakot savu brīvo gribu bez viltus, spaidiem un maldības, noslēdz šāda satura līgumu:</w:t>
      </w:r>
    </w:p>
    <w:p w:rsidR="008B5FE0" w:rsidRPr="0055640C" w:rsidRDefault="008B5FE0" w:rsidP="008B5FE0">
      <w:pPr>
        <w:widowControl w:val="0"/>
        <w:autoSpaceDE w:val="0"/>
        <w:autoSpaceDN w:val="0"/>
        <w:adjustRightInd w:val="0"/>
        <w:spacing w:after="0" w:line="240" w:lineRule="auto"/>
        <w:jc w:val="center"/>
        <w:rPr>
          <w:rFonts w:ascii="Times New Roman" w:eastAsia="Calibri" w:hAnsi="Times New Roman" w:cs="Times New Roman"/>
          <w:b/>
          <w:bCs/>
        </w:rPr>
      </w:pPr>
      <w:r w:rsidRPr="0055640C">
        <w:rPr>
          <w:rFonts w:ascii="Times New Roman" w:eastAsia="Calibri" w:hAnsi="Times New Roman" w:cs="Times New Roman"/>
          <w:b/>
        </w:rPr>
        <w:t xml:space="preserve">1. </w:t>
      </w:r>
      <w:r w:rsidRPr="0055640C">
        <w:rPr>
          <w:rFonts w:ascii="Times New Roman" w:eastAsia="Calibri" w:hAnsi="Times New Roman" w:cs="Times New Roman"/>
          <w:b/>
          <w:bCs/>
        </w:rPr>
        <w:t>LĪGUMA PRIEKŠMETS</w:t>
      </w:r>
    </w:p>
    <w:p w:rsidR="008B5FE0" w:rsidRPr="0055640C" w:rsidRDefault="008B5FE0" w:rsidP="008B5FE0">
      <w:pPr>
        <w:widowControl w:val="0"/>
        <w:numPr>
          <w:ilvl w:val="1"/>
          <w:numId w:val="2"/>
        </w:numPr>
        <w:tabs>
          <w:tab w:val="left" w:pos="567"/>
        </w:tabs>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rPr>
      </w:pPr>
      <w:r w:rsidRPr="0055640C">
        <w:rPr>
          <w:rFonts w:ascii="Times New Roman" w:eastAsia="Calibri" w:hAnsi="Times New Roman" w:cs="Times New Roman"/>
          <w:color w:val="000000"/>
        </w:rPr>
        <w:t>Tirgotājs pārdod, bet Lietotājs pērk un apmaksā saņemto elektroenerģiju, kas ietver elektroenerģijas pārdošanu Lietotājam, rēķinu izrakstīšanu, maksājumu iekasēšanu,  apstrādi un citas Tirgotāja darbības, kas saistītas ar elektroenerģijas tirdzniecību, atbilstoši Tirgotāja iesniegtajam Piedāvājumam iepirkumam „</w:t>
      </w:r>
      <w:r w:rsidRPr="0055640C">
        <w:rPr>
          <w:rFonts w:ascii="Times New Roman" w:eastAsia="Calibri" w:hAnsi="Times New Roman" w:cs="Times New Roman"/>
        </w:rPr>
        <w:t xml:space="preserve"> Elektroenerģijas iegāde SIA “LABIEKĀRTOŠANA-D vajadzībām</w:t>
      </w:r>
      <w:r w:rsidRPr="0055640C">
        <w:rPr>
          <w:rFonts w:ascii="Times New Roman" w:eastAsia="Calibri" w:hAnsi="Times New Roman" w:cs="Times New Roman"/>
          <w:color w:val="000000"/>
        </w:rPr>
        <w:t>” (ID Nr. L2018/01).</w:t>
      </w:r>
    </w:p>
    <w:p w:rsidR="008B5FE0" w:rsidRPr="0055640C" w:rsidRDefault="008B5FE0" w:rsidP="008B5FE0">
      <w:pPr>
        <w:widowControl w:val="0"/>
        <w:numPr>
          <w:ilvl w:val="1"/>
          <w:numId w:val="2"/>
        </w:numPr>
        <w:tabs>
          <w:tab w:val="left" w:pos="567"/>
        </w:tabs>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rPr>
      </w:pPr>
      <w:r w:rsidRPr="0055640C">
        <w:rPr>
          <w:rFonts w:ascii="Times New Roman" w:eastAsia="Calibri" w:hAnsi="Times New Roman" w:cs="Times New Roman"/>
          <w:color w:val="000000"/>
        </w:rPr>
        <w:t>Lietotāja Elektroenerģiju patērējošie objekti ir norādīti tehniskajā specifikācijā (1.</w:t>
      </w:r>
      <w:r w:rsidRPr="0055640C">
        <w:rPr>
          <w:rFonts w:ascii="Times New Roman" w:eastAsia="Calibri" w:hAnsi="Times New Roman" w:cs="Times New Roman"/>
          <w:bCs/>
          <w:color w:val="000000"/>
        </w:rPr>
        <w:t>pielikums).</w:t>
      </w:r>
    </w:p>
    <w:p w:rsidR="008B5FE0" w:rsidRPr="0055640C" w:rsidRDefault="008B5FE0" w:rsidP="008B5FE0">
      <w:pPr>
        <w:widowControl w:val="0"/>
        <w:numPr>
          <w:ilvl w:val="1"/>
          <w:numId w:val="2"/>
        </w:numPr>
        <w:tabs>
          <w:tab w:val="left" w:pos="567"/>
        </w:tabs>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rPr>
      </w:pPr>
      <w:r w:rsidRPr="0055640C">
        <w:rPr>
          <w:rFonts w:ascii="Times New Roman" w:eastAsia="Calibri" w:hAnsi="Times New Roman" w:cs="Times New Roman"/>
          <w:color w:val="000000"/>
        </w:rPr>
        <w:t xml:space="preserve">Elektroenerģijas tirdzniecība neietver elektroenerģijas transportēšanu (piegādi) – pārvadi un sadali. </w:t>
      </w:r>
    </w:p>
    <w:p w:rsidR="008B5FE0" w:rsidRPr="0055640C" w:rsidRDefault="008B5FE0" w:rsidP="008B5FE0">
      <w:pPr>
        <w:widowControl w:val="0"/>
        <w:overflowPunct w:val="0"/>
        <w:autoSpaceDE w:val="0"/>
        <w:autoSpaceDN w:val="0"/>
        <w:adjustRightInd w:val="0"/>
        <w:spacing w:after="0" w:line="240" w:lineRule="auto"/>
        <w:ind w:left="792"/>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jc w:val="center"/>
        <w:rPr>
          <w:rFonts w:ascii="Times New Roman" w:eastAsia="Calibri" w:hAnsi="Times New Roman" w:cs="Times New Roman"/>
          <w:b/>
          <w:bCs/>
        </w:rPr>
      </w:pPr>
      <w:r w:rsidRPr="0055640C">
        <w:rPr>
          <w:rFonts w:ascii="Times New Roman" w:eastAsia="Calibri" w:hAnsi="Times New Roman" w:cs="Times New Roman"/>
          <w:b/>
          <w:bCs/>
        </w:rPr>
        <w:t>LĪGUMA TERMIŅŠ, ELEKTROENERĢIJAS CENA UN APJOMI</w:t>
      </w:r>
    </w:p>
    <w:p w:rsidR="008B5FE0" w:rsidRPr="0055640C" w:rsidRDefault="008B5FE0" w:rsidP="008B5FE0">
      <w:pPr>
        <w:widowControl w:val="0"/>
        <w:numPr>
          <w:ilvl w:val="1"/>
          <w:numId w:val="2"/>
        </w:numPr>
        <w:overflowPunct w:val="0"/>
        <w:autoSpaceDE w:val="0"/>
        <w:autoSpaceDN w:val="0"/>
        <w:adjustRightInd w:val="0"/>
        <w:spacing w:after="0" w:line="276" w:lineRule="auto"/>
        <w:ind w:left="567" w:hanging="567"/>
        <w:jc w:val="both"/>
        <w:rPr>
          <w:rFonts w:ascii="Times New Roman" w:eastAsia="Calibri" w:hAnsi="Times New Roman" w:cs="Times New Roman"/>
          <w:b/>
          <w:bCs/>
        </w:rPr>
      </w:pPr>
      <w:r w:rsidRPr="0055640C">
        <w:rPr>
          <w:rFonts w:ascii="Times New Roman" w:eastAsia="Calibri" w:hAnsi="Times New Roman" w:cs="Times New Roman"/>
        </w:rPr>
        <w:t xml:space="preserve">Līgums stājas spēka </w:t>
      </w:r>
      <w:r w:rsidRPr="0055640C">
        <w:rPr>
          <w:rFonts w:ascii="Times New Roman" w:eastAsia="Calibri" w:hAnsi="Times New Roman" w:cs="Times New Roman"/>
          <w:b/>
        </w:rPr>
        <w:t xml:space="preserve">2018. gada 01.februārī un Līguma darbības termiņš beidzas 2020. gada 31. janvārī. </w:t>
      </w:r>
    </w:p>
    <w:p w:rsidR="008B5FE0" w:rsidRPr="0055640C" w:rsidRDefault="008B5FE0" w:rsidP="008B5FE0">
      <w:pPr>
        <w:widowControl w:val="0"/>
        <w:numPr>
          <w:ilvl w:val="1"/>
          <w:numId w:val="2"/>
        </w:numPr>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rPr>
      </w:pPr>
      <w:r w:rsidRPr="0055640C">
        <w:rPr>
          <w:rFonts w:ascii="Times New Roman" w:eastAsia="Calibri" w:hAnsi="Times New Roman" w:cs="Times New Roman"/>
        </w:rPr>
        <w:t xml:space="preserve">Elektroenerģijas cena, par kādu Tirgotājs pārdod Lietotājam elektroenerģiju uz Līguma noslēgšanas brīdi, </w:t>
      </w:r>
      <w:r w:rsidRPr="0055640C">
        <w:rPr>
          <w:rFonts w:ascii="Times New Roman" w:eastAsia="Calibri" w:hAnsi="Times New Roman" w:cs="Times New Roman"/>
          <w:color w:val="000000"/>
        </w:rPr>
        <w:t xml:space="preserve">tiek noteikta </w:t>
      </w:r>
      <w:r w:rsidRPr="0055640C">
        <w:rPr>
          <w:rFonts w:ascii="Times New Roman" w:eastAsia="Calibri" w:hAnsi="Times New Roman" w:cs="Times New Roman"/>
          <w:b/>
          <w:bCs/>
          <w:color w:val="000000"/>
        </w:rPr>
        <w:t>0,03988 EUR/</w:t>
      </w:r>
      <w:proofErr w:type="spellStart"/>
      <w:r w:rsidRPr="0055640C">
        <w:rPr>
          <w:rFonts w:ascii="Times New Roman" w:eastAsia="Calibri" w:hAnsi="Times New Roman" w:cs="Times New Roman"/>
          <w:b/>
          <w:bCs/>
          <w:color w:val="000000"/>
        </w:rPr>
        <w:t>kWh</w:t>
      </w:r>
      <w:proofErr w:type="spellEnd"/>
      <w:r w:rsidRPr="0055640C">
        <w:rPr>
          <w:rFonts w:ascii="Times New Roman" w:eastAsia="Calibri" w:hAnsi="Times New Roman" w:cs="Times New Roman"/>
          <w:b/>
          <w:bCs/>
          <w:color w:val="000000"/>
        </w:rPr>
        <w:t xml:space="preserve"> </w:t>
      </w:r>
      <w:r w:rsidRPr="0055640C">
        <w:rPr>
          <w:rFonts w:ascii="Times New Roman" w:eastAsia="Calibri" w:hAnsi="Times New Roman" w:cs="Times New Roman"/>
          <w:color w:val="000000"/>
        </w:rPr>
        <w:t>bez PVN</w:t>
      </w:r>
      <w:r w:rsidRPr="0055640C">
        <w:rPr>
          <w:rFonts w:ascii="Times New Roman" w:eastAsia="Calibri" w:hAnsi="Times New Roman" w:cs="Times New Roman"/>
          <w:b/>
          <w:bCs/>
          <w:color w:val="000000"/>
        </w:rPr>
        <w:t xml:space="preserve"> </w:t>
      </w:r>
      <w:r w:rsidRPr="0055640C">
        <w:rPr>
          <w:rFonts w:ascii="Times New Roman" w:eastAsia="Calibri" w:hAnsi="Times New Roman" w:cs="Times New Roman"/>
          <w:color w:val="000000"/>
        </w:rPr>
        <w:t>vienā laika zonā.</w:t>
      </w:r>
    </w:p>
    <w:p w:rsidR="008B5FE0" w:rsidRPr="0055640C" w:rsidRDefault="008B5FE0" w:rsidP="008B5FE0">
      <w:pPr>
        <w:widowControl w:val="0"/>
        <w:numPr>
          <w:ilvl w:val="1"/>
          <w:numId w:val="2"/>
        </w:numPr>
        <w:overflowPunct w:val="0"/>
        <w:autoSpaceDE w:val="0"/>
        <w:autoSpaceDN w:val="0"/>
        <w:adjustRightInd w:val="0"/>
        <w:spacing w:after="0" w:line="276" w:lineRule="auto"/>
        <w:ind w:left="567" w:hanging="567"/>
        <w:jc w:val="both"/>
        <w:rPr>
          <w:rFonts w:ascii="Times New Roman" w:eastAsia="Calibri" w:hAnsi="Times New Roman" w:cs="Times New Roman"/>
          <w:b/>
          <w:bCs/>
        </w:rPr>
      </w:pPr>
      <w:r w:rsidRPr="0055640C">
        <w:rPr>
          <w:rFonts w:ascii="Times New Roman" w:eastAsia="Calibri" w:hAnsi="Times New Roman" w:cs="Times New Roman"/>
        </w:rPr>
        <w:t xml:space="preserve">Elektroenerģijas cena neietver obligāto iepirkumu komponentes un sistēmas pakalpojumu tarifus, ko Lietotājs apmaksā saskaņā ar sistēmas operatoru noslēgtā sistēmas pakalpojumu līguma noteikumiem. </w:t>
      </w:r>
    </w:p>
    <w:p w:rsidR="008B5FE0" w:rsidRPr="0055640C" w:rsidRDefault="008B5FE0" w:rsidP="008B5FE0">
      <w:pPr>
        <w:widowControl w:val="0"/>
        <w:numPr>
          <w:ilvl w:val="1"/>
          <w:numId w:val="2"/>
        </w:numPr>
        <w:overflowPunct w:val="0"/>
        <w:autoSpaceDE w:val="0"/>
        <w:autoSpaceDN w:val="0"/>
        <w:adjustRightInd w:val="0"/>
        <w:spacing w:after="0" w:line="276" w:lineRule="auto"/>
        <w:ind w:left="567" w:hanging="567"/>
        <w:jc w:val="both"/>
        <w:rPr>
          <w:rFonts w:ascii="Times New Roman" w:eastAsia="Calibri" w:hAnsi="Times New Roman" w:cs="Times New Roman"/>
          <w:b/>
          <w:bCs/>
        </w:rPr>
      </w:pPr>
      <w:r w:rsidRPr="0055640C">
        <w:rPr>
          <w:rFonts w:ascii="Times New Roman" w:eastAsia="Calibri" w:hAnsi="Times New Roman" w:cs="Times New Roman"/>
        </w:rPr>
        <w:t xml:space="preserve">Līguma 2.2. punktā noteiktā elektroenerģijas cena ietver balansēšanas pakalpojuma cenu. </w:t>
      </w:r>
      <w:bookmarkStart w:id="2" w:name="page2"/>
      <w:bookmarkEnd w:id="2"/>
      <w:r w:rsidRPr="0055640C">
        <w:rPr>
          <w:rFonts w:ascii="Times New Roman" w:eastAsia="Calibri" w:hAnsi="Times New Roman" w:cs="Times New Roman"/>
        </w:rPr>
        <w:t xml:space="preserve">Par Līguma 2.2. punktā noteiktajām elektroenerģijas cenām Lietotājs var pirkt no Tirgotāja neierobežotu aktīvās elektroenerģijas apjomu. </w:t>
      </w:r>
    </w:p>
    <w:p w:rsidR="008B5FE0" w:rsidRPr="0055640C" w:rsidRDefault="008B5FE0" w:rsidP="008B5FE0">
      <w:pPr>
        <w:widowControl w:val="0"/>
        <w:numPr>
          <w:ilvl w:val="1"/>
          <w:numId w:val="2"/>
        </w:numPr>
        <w:overflowPunct w:val="0"/>
        <w:autoSpaceDE w:val="0"/>
        <w:autoSpaceDN w:val="0"/>
        <w:adjustRightInd w:val="0"/>
        <w:spacing w:after="0" w:line="276" w:lineRule="auto"/>
        <w:ind w:left="567" w:hanging="567"/>
        <w:jc w:val="both"/>
        <w:rPr>
          <w:rFonts w:ascii="Times New Roman" w:eastAsia="Calibri" w:hAnsi="Times New Roman" w:cs="Times New Roman"/>
          <w:b/>
          <w:bCs/>
        </w:rPr>
      </w:pPr>
      <w:r w:rsidRPr="0055640C">
        <w:rPr>
          <w:rFonts w:ascii="Times New Roman" w:eastAsia="Calibri" w:hAnsi="Times New Roman" w:cs="Times New Roman"/>
        </w:rPr>
        <w:t xml:space="preserve">Lietotājs par elektroenerģiju norēķinās saskaņā ar Tirgotāja izrakstītajiem rēķiniem 1 (vienu) reizi mēnesī. Norēķini par elektroenerģiju notiek pēc Lietotāja faktiski patērētās elektroenerģijas apjoma. </w:t>
      </w:r>
    </w:p>
    <w:p w:rsidR="008B5FE0" w:rsidRPr="0055640C" w:rsidRDefault="008B5FE0" w:rsidP="008B5FE0">
      <w:pPr>
        <w:widowControl w:val="0"/>
        <w:numPr>
          <w:ilvl w:val="1"/>
          <w:numId w:val="2"/>
        </w:numPr>
        <w:overflowPunct w:val="0"/>
        <w:autoSpaceDE w:val="0"/>
        <w:autoSpaceDN w:val="0"/>
        <w:adjustRightInd w:val="0"/>
        <w:spacing w:after="0" w:line="276" w:lineRule="auto"/>
        <w:ind w:left="567" w:hanging="567"/>
        <w:jc w:val="both"/>
        <w:rPr>
          <w:rFonts w:ascii="Times New Roman" w:eastAsia="Calibri" w:hAnsi="Times New Roman" w:cs="Times New Roman"/>
          <w:b/>
          <w:bCs/>
        </w:rPr>
      </w:pPr>
      <w:r w:rsidRPr="0055640C">
        <w:rPr>
          <w:rFonts w:ascii="Times New Roman" w:eastAsia="Calibri" w:hAnsi="Times New Roman" w:cs="Times New Roman"/>
        </w:rPr>
        <w:t xml:space="preserve">Līguma 2.2. punktā nolīgtajā cenā iekļauti visi nodokļi un maksas, izņemot pievienotās vērtības nodokli, kas jāapmaksā saskaņā ar Latvijas Republikas normatīvajiem aktiem. </w:t>
      </w:r>
    </w:p>
    <w:p w:rsidR="008B5FE0" w:rsidRPr="0055640C" w:rsidRDefault="008B5FE0" w:rsidP="008B5FE0">
      <w:pPr>
        <w:widowControl w:val="0"/>
        <w:overflowPunct w:val="0"/>
        <w:autoSpaceDE w:val="0"/>
        <w:autoSpaceDN w:val="0"/>
        <w:adjustRightInd w:val="0"/>
        <w:spacing w:after="0" w:line="240" w:lineRule="auto"/>
        <w:ind w:left="792"/>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jc w:val="center"/>
        <w:rPr>
          <w:rFonts w:ascii="Times New Roman" w:eastAsia="Calibri" w:hAnsi="Times New Roman" w:cs="Times New Roman"/>
          <w:b/>
          <w:bCs/>
        </w:rPr>
      </w:pPr>
      <w:r w:rsidRPr="0055640C">
        <w:rPr>
          <w:rFonts w:ascii="Times New Roman" w:eastAsia="Calibri" w:hAnsi="Times New Roman" w:cs="Times New Roman"/>
          <w:b/>
          <w:bCs/>
        </w:rPr>
        <w:t>ELEKTROENERĢIJAS UZSKAITE UN PAPILDUS NOSACĪJUMI</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Lietotāja patērētās elektroenerģijas un jaudas uzskaiti atbilstoši uzskaites vietās uzstādītās uzskaites sistēmas rādījumiem veic sistēmas operators, pie kura tīkla Lietotājs ir pieslēgts.</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 xml:space="preserve">Puses vienojas, ka tām ir saistoši sistēmas operatora sagatavotie ziņojumi, kuros norādīti uzskaites sistēmas rādījumi un citi ar elektroenerģijas uzskaiti saistītie dati, un Tirgotājs šo informāciju un datus izmantos, izrakstot Lietotājam attiecīgu rēķinu. </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 xml:space="preserve">Lietotājs apņemas stingri ievērot Latvijas Republikas normatīvajos aktos noteiktās prasības attiecībā uz mēraparātu verificēšanu un atbilstības novērtēšanu, kā arī mēraparātu plombu uzstādīšanu un saglabāšanu. </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 xml:space="preserve">Tirgotāja izrakstītajos rēķinos, kas sagatavoti elektroniski, personas, kas izraksta rēķinu, rakstiskais </w:t>
      </w:r>
      <w:r w:rsidRPr="0055640C">
        <w:rPr>
          <w:rFonts w:ascii="Times New Roman" w:eastAsia="Calibri" w:hAnsi="Times New Roman" w:cs="Times New Roman"/>
        </w:rPr>
        <w:lastRenderedPageBreak/>
        <w:t xml:space="preserve">paraksts tiek aizstāts ar tā elektronisko apliecinājumu (autorizāciju). </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 xml:space="preserve">Ja mainās elektroenerģiju patērējošo objektu juridiskais statuss, Lietotāja tiesības attiecībā uz objektu, kā arī, ja Lietotājs vēlas pirkt elektroenerģiju citos objektos, kas nav uzskaitīti tehniskajā specifikācijā Līguma (1. pielikumā), Lietotājs par to informē Tirgotāju saskaņā ar Līguma noteikumiem. Puses par to noslēdz atsevišķu rakstisku vienošanos pēc tam, kad Tirgotājs ir saņēmis Lietotāja paziņojumu. Attiecības ar sadales sistēmas operatoru Lietotājs risina atsevišķi. </w:t>
      </w:r>
    </w:p>
    <w:p w:rsidR="008B5FE0" w:rsidRPr="0055640C" w:rsidRDefault="008B5FE0" w:rsidP="008B5FE0">
      <w:pPr>
        <w:widowControl w:val="0"/>
        <w:overflowPunct w:val="0"/>
        <w:autoSpaceDE w:val="0"/>
        <w:autoSpaceDN w:val="0"/>
        <w:adjustRightInd w:val="0"/>
        <w:spacing w:after="0" w:line="240" w:lineRule="auto"/>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jc w:val="center"/>
        <w:rPr>
          <w:rFonts w:ascii="Times New Roman" w:eastAsia="Calibri" w:hAnsi="Times New Roman" w:cs="Times New Roman"/>
          <w:b/>
          <w:bCs/>
        </w:rPr>
      </w:pPr>
      <w:r w:rsidRPr="0055640C">
        <w:rPr>
          <w:rFonts w:ascii="Times New Roman" w:eastAsia="Calibri" w:hAnsi="Times New Roman" w:cs="Times New Roman"/>
          <w:b/>
          <w:bCs/>
        </w:rPr>
        <w:t>TIRGOTĀJA PIENĀKUMI UN TIESĪBAS</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425"/>
        <w:rPr>
          <w:rFonts w:ascii="Times New Roman" w:eastAsia="Calibri" w:hAnsi="Times New Roman" w:cs="Times New Roman"/>
          <w:bCs/>
        </w:rPr>
      </w:pPr>
      <w:r w:rsidRPr="0055640C">
        <w:rPr>
          <w:rFonts w:ascii="Times New Roman" w:eastAsia="Calibri" w:hAnsi="Times New Roman" w:cs="Times New Roman"/>
        </w:rPr>
        <w:t xml:space="preserve"> </w:t>
      </w:r>
      <w:r w:rsidRPr="0055640C">
        <w:rPr>
          <w:rFonts w:ascii="Times New Roman" w:eastAsia="Calibri" w:hAnsi="Times New Roman" w:cs="Times New Roman"/>
          <w:bCs/>
        </w:rPr>
        <w:t>Tirgotāja pienākumi:</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pārdot elektroenerģiju saskaņā ar Līguma 2.2. punktā noteikto elektroenerģijas cenu;</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Cs/>
        </w:rPr>
      </w:pPr>
      <w:r w:rsidRPr="0055640C">
        <w:rPr>
          <w:rFonts w:ascii="Times New Roman" w:eastAsia="Calibri" w:hAnsi="Times New Roman" w:cs="Times New Roman"/>
        </w:rPr>
        <w:t>izrakstīt un nosūtīt Lietotājam rēķinu par patērēto elektroenerģiju 10 (desmit) kalendāro</w:t>
      </w:r>
      <w:r w:rsidRPr="0055640C">
        <w:rPr>
          <w:rFonts w:ascii="Times New Roman" w:eastAsia="Calibri" w:hAnsi="Times New Roman" w:cs="Times New Roman"/>
          <w:b/>
          <w:bCs/>
        </w:rPr>
        <w:t xml:space="preserve"> </w:t>
      </w:r>
      <w:r w:rsidRPr="0055640C">
        <w:rPr>
          <w:rFonts w:ascii="Times New Roman" w:eastAsia="Calibri" w:hAnsi="Times New Roman" w:cs="Times New Roman"/>
        </w:rPr>
        <w:t xml:space="preserve">dienu laikā pēc </w:t>
      </w:r>
      <w:proofErr w:type="spellStart"/>
      <w:r w:rsidRPr="0055640C">
        <w:rPr>
          <w:rFonts w:ascii="Times New Roman" w:eastAsia="Calibri" w:hAnsi="Times New Roman" w:cs="Times New Roman"/>
        </w:rPr>
        <w:t>komercuzskaites</w:t>
      </w:r>
      <w:proofErr w:type="spellEnd"/>
      <w:r w:rsidRPr="0055640C">
        <w:rPr>
          <w:rFonts w:ascii="Times New Roman" w:eastAsia="Calibri" w:hAnsi="Times New Roman" w:cs="Times New Roman"/>
        </w:rPr>
        <w:t xml:space="preserve"> mēraparāta rādījumu saņemšanas, nosūtot tos uz Lietotāja e–pasta adresi: </w:t>
      </w:r>
      <w:hyperlink r:id="rId7" w:history="1">
        <w:r w:rsidRPr="0055640C">
          <w:rPr>
            <w:rStyle w:val="Hyperlink"/>
            <w:rFonts w:ascii="Times New Roman" w:eastAsia="Calibri" w:hAnsi="Times New Roman" w:cs="Times New Roman"/>
          </w:rPr>
          <w:t>info@labiekartosana.lv</w:t>
        </w:r>
      </w:hyperlink>
      <w:r w:rsidRPr="0055640C">
        <w:rPr>
          <w:rFonts w:ascii="Times New Roman" w:eastAsia="Calibri" w:hAnsi="Times New Roman" w:cs="Times New Roman"/>
        </w:rPr>
        <w:t xml:space="preserve">.   </w:t>
      </w:r>
    </w:p>
    <w:p w:rsidR="008B5FE0" w:rsidRPr="0055640C" w:rsidRDefault="008B5FE0" w:rsidP="008B5FE0">
      <w:pPr>
        <w:widowControl w:val="0"/>
        <w:overflowPunct w:val="0"/>
        <w:autoSpaceDE w:val="0"/>
        <w:autoSpaceDN w:val="0"/>
        <w:adjustRightInd w:val="0"/>
        <w:spacing w:after="0" w:line="276" w:lineRule="auto"/>
        <w:ind w:left="1985"/>
        <w:jc w:val="both"/>
        <w:rPr>
          <w:rFonts w:ascii="Times New Roman" w:eastAsia="Calibri" w:hAnsi="Times New Roman" w:cs="Times New Roman"/>
          <w:bCs/>
        </w:rPr>
      </w:pPr>
      <w:r w:rsidRPr="0055640C">
        <w:rPr>
          <w:rFonts w:ascii="Times New Roman" w:eastAsia="Calibri" w:hAnsi="Times New Roman" w:cs="Times New Roman"/>
        </w:rPr>
        <w:t xml:space="preserve">Ja pirms rēķina izrakstīšanas un nosūtīšanas, Lietotājs ir veicis avansa maksājumus, tad Tirgotājs samazina nosūtāmā rēķina maksājamās summas apmēru par avansā samaksāto summu. </w:t>
      </w:r>
    </w:p>
    <w:p w:rsidR="008B5FE0" w:rsidRPr="0055640C" w:rsidRDefault="008B5FE0" w:rsidP="008B5FE0">
      <w:pPr>
        <w:widowControl w:val="0"/>
        <w:numPr>
          <w:ilvl w:val="1"/>
          <w:numId w:val="2"/>
        </w:numPr>
        <w:overflowPunct w:val="0"/>
        <w:autoSpaceDE w:val="0"/>
        <w:autoSpaceDN w:val="0"/>
        <w:adjustRightInd w:val="0"/>
        <w:spacing w:after="0" w:line="276" w:lineRule="auto"/>
        <w:ind w:hanging="508"/>
        <w:jc w:val="both"/>
        <w:rPr>
          <w:rFonts w:ascii="Times New Roman" w:eastAsia="Calibri" w:hAnsi="Times New Roman" w:cs="Times New Roman"/>
          <w:bCs/>
        </w:rPr>
      </w:pPr>
      <w:r w:rsidRPr="0055640C">
        <w:rPr>
          <w:rFonts w:ascii="Times New Roman" w:eastAsia="Calibri" w:hAnsi="Times New Roman" w:cs="Times New Roman"/>
          <w:bCs/>
        </w:rPr>
        <w:t>Tirgotāja tiesības:</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pieprasīt no Lietotāja avansa maksājumu 1 (viena) mēneša vidējā maksājuma apmērā, ja Lietotājs ir atkārtoti kavējis maksājumus;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ja Tirgotājs savlaicīgi nesaņem </w:t>
      </w:r>
      <w:proofErr w:type="spellStart"/>
      <w:r w:rsidRPr="0055640C">
        <w:rPr>
          <w:rFonts w:ascii="Times New Roman" w:eastAsia="Calibri" w:hAnsi="Times New Roman" w:cs="Times New Roman"/>
        </w:rPr>
        <w:t>komercuzskaites</w:t>
      </w:r>
      <w:proofErr w:type="spellEnd"/>
      <w:r w:rsidRPr="0055640C">
        <w:rPr>
          <w:rFonts w:ascii="Times New Roman" w:eastAsia="Calibri" w:hAnsi="Times New Roman" w:cs="Times New Roman"/>
        </w:rPr>
        <w:t xml:space="preserve"> mēraparātu rādījumus lietotāja vainas dēļ, tam ir tiesības izrakstīt rēķinu Lietotājam pēc iepriekšējā mēneša patēriņa, taču ne vairāk kā pēdējo 12 (divpadsmit) mēnešu vidējā mēneša patēriņa.</w:t>
      </w:r>
    </w:p>
    <w:p w:rsidR="008B5FE0" w:rsidRPr="0055640C" w:rsidRDefault="008B5FE0" w:rsidP="008B5FE0">
      <w:pPr>
        <w:widowControl w:val="0"/>
        <w:overflowPunct w:val="0"/>
        <w:autoSpaceDE w:val="0"/>
        <w:autoSpaceDN w:val="0"/>
        <w:adjustRightInd w:val="0"/>
        <w:spacing w:after="0" w:line="240" w:lineRule="auto"/>
        <w:ind w:left="1224"/>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jc w:val="center"/>
        <w:rPr>
          <w:rFonts w:ascii="Times New Roman" w:eastAsia="Calibri" w:hAnsi="Times New Roman" w:cs="Times New Roman"/>
          <w:b/>
          <w:bCs/>
        </w:rPr>
      </w:pPr>
      <w:r w:rsidRPr="0055640C">
        <w:rPr>
          <w:rFonts w:ascii="Times New Roman" w:eastAsia="Calibri" w:hAnsi="Times New Roman" w:cs="Times New Roman"/>
          <w:b/>
          <w:bCs/>
        </w:rPr>
        <w:t>LIETOTĀJA PIENĀKUMI UN TIESĪBAS</w:t>
      </w:r>
    </w:p>
    <w:p w:rsidR="008B5FE0" w:rsidRPr="0055640C" w:rsidRDefault="008B5FE0" w:rsidP="008B5FE0">
      <w:pPr>
        <w:widowControl w:val="0"/>
        <w:numPr>
          <w:ilvl w:val="1"/>
          <w:numId w:val="2"/>
        </w:numPr>
        <w:overflowPunct w:val="0"/>
        <w:autoSpaceDE w:val="0"/>
        <w:autoSpaceDN w:val="0"/>
        <w:adjustRightInd w:val="0"/>
        <w:spacing w:after="0" w:line="276" w:lineRule="auto"/>
        <w:ind w:left="788" w:hanging="504"/>
        <w:rPr>
          <w:rFonts w:ascii="Times New Roman" w:eastAsia="Calibri" w:hAnsi="Times New Roman" w:cs="Times New Roman"/>
          <w:bCs/>
        </w:rPr>
      </w:pPr>
      <w:r w:rsidRPr="0055640C">
        <w:rPr>
          <w:rFonts w:ascii="Times New Roman" w:eastAsia="Calibri" w:hAnsi="Times New Roman" w:cs="Times New Roman"/>
          <w:bCs/>
        </w:rPr>
        <w:t xml:space="preserve">Lietotāja pienākumi: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apmaksāt patērēto elektroenerģiju 30 (trīsdesmit) kalendāro dienu laikā no rēķina izrakstīšanas dienas. Rēķina apmaksas datums ir naudas ieskaitīšanas diena norādītajā Tirgotāja bankas kontā. Ja termiņš iekrīt brīvdienā, tad pēdējā samaksas diena ir nākamā darba diena;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informēt Tirgotāju, ja no Tirgotāja nav savlaicīgi (līdz mēneša 15 (piecpadsmitajam datumam) saņemts rēķins par iepriekšējā mēnesī patērēto elektroenerģiju);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color w:val="000000"/>
        </w:rPr>
      </w:pPr>
      <w:r w:rsidRPr="0055640C">
        <w:rPr>
          <w:rFonts w:ascii="Times New Roman" w:eastAsia="Calibri" w:hAnsi="Times New Roman" w:cs="Times New Roman"/>
          <w:color w:val="000000"/>
        </w:rPr>
        <w:t xml:space="preserve">noslēgt līgumu par sistēmas pakalpojumiem ar sistēmas operatoru un veikt atbilstošu sistēmas lietošanas tarifu un vietējo neatkarīgo ražotāju atbalsta komponentes apmaksu atbilstoši Latvijas Republikas normatīvajiem aktiem;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10 (desmit) darba dienu laikā </w:t>
      </w:r>
      <w:proofErr w:type="spellStart"/>
      <w:r w:rsidRPr="0055640C">
        <w:rPr>
          <w:rFonts w:ascii="Times New Roman" w:eastAsia="Calibri" w:hAnsi="Times New Roman" w:cs="Times New Roman"/>
        </w:rPr>
        <w:t>rakstveidā</w:t>
      </w:r>
      <w:proofErr w:type="spellEnd"/>
      <w:r w:rsidRPr="0055640C">
        <w:rPr>
          <w:rFonts w:ascii="Times New Roman" w:eastAsia="Calibri" w:hAnsi="Times New Roman" w:cs="Times New Roman"/>
        </w:rPr>
        <w:t xml:space="preserve"> informēt Tirgotāju:</w:t>
      </w:r>
    </w:p>
    <w:p w:rsidR="008B5FE0" w:rsidRPr="0055640C" w:rsidRDefault="008B5FE0" w:rsidP="008B5FE0">
      <w:pPr>
        <w:widowControl w:val="0"/>
        <w:overflowPunct w:val="0"/>
        <w:autoSpaceDE w:val="0"/>
        <w:autoSpaceDN w:val="0"/>
        <w:adjustRightInd w:val="0"/>
        <w:spacing w:after="0" w:line="276" w:lineRule="auto"/>
        <w:ind w:left="2977" w:hanging="709"/>
        <w:jc w:val="both"/>
        <w:rPr>
          <w:rFonts w:ascii="Times New Roman" w:eastAsia="Calibri" w:hAnsi="Times New Roman" w:cs="Times New Roman"/>
        </w:rPr>
      </w:pPr>
      <w:r w:rsidRPr="0055640C">
        <w:rPr>
          <w:rFonts w:ascii="Times New Roman" w:eastAsia="Calibri" w:hAnsi="Times New Roman" w:cs="Times New Roman"/>
        </w:rPr>
        <w:t xml:space="preserve">5.1.4.1.par sava uzņēmuma juridiskā statusa, nosaukuma, adreses, u.c. rekvizītu maiņu; </w:t>
      </w:r>
    </w:p>
    <w:p w:rsidR="008B5FE0" w:rsidRPr="0055640C" w:rsidRDefault="008B5FE0" w:rsidP="008B5FE0">
      <w:pPr>
        <w:widowControl w:val="0"/>
        <w:overflowPunct w:val="0"/>
        <w:autoSpaceDE w:val="0"/>
        <w:autoSpaceDN w:val="0"/>
        <w:adjustRightInd w:val="0"/>
        <w:spacing w:after="0" w:line="276" w:lineRule="auto"/>
        <w:ind w:left="2977" w:hanging="709"/>
        <w:jc w:val="both"/>
        <w:rPr>
          <w:rFonts w:ascii="Times New Roman" w:eastAsia="Calibri" w:hAnsi="Times New Roman" w:cs="Times New Roman"/>
        </w:rPr>
      </w:pPr>
      <w:r w:rsidRPr="0055640C">
        <w:rPr>
          <w:rFonts w:ascii="Times New Roman" w:eastAsia="Calibri" w:hAnsi="Times New Roman" w:cs="Times New Roman"/>
        </w:rPr>
        <w:t xml:space="preserve">5.1.4.2. par īpašumā vai lietošanā esošo objektu, kam tiek piegādāta elektroenerģija, īpašuma vai lietošanas tiesību maiņu; </w:t>
      </w:r>
    </w:p>
    <w:p w:rsidR="008B5FE0" w:rsidRPr="0055640C" w:rsidRDefault="008B5FE0" w:rsidP="008B5FE0">
      <w:pPr>
        <w:widowControl w:val="0"/>
        <w:overflowPunct w:val="0"/>
        <w:autoSpaceDE w:val="0"/>
        <w:autoSpaceDN w:val="0"/>
        <w:adjustRightInd w:val="0"/>
        <w:spacing w:after="0" w:line="276" w:lineRule="auto"/>
        <w:ind w:left="2977" w:hanging="709"/>
        <w:jc w:val="both"/>
        <w:rPr>
          <w:rFonts w:ascii="Times New Roman" w:eastAsia="Calibri" w:hAnsi="Times New Roman" w:cs="Times New Roman"/>
        </w:rPr>
      </w:pPr>
      <w:r w:rsidRPr="0055640C">
        <w:rPr>
          <w:rFonts w:ascii="Times New Roman" w:eastAsia="Calibri" w:hAnsi="Times New Roman" w:cs="Times New Roman"/>
        </w:rPr>
        <w:t>5.1.4.3</w:t>
      </w:r>
      <w:bookmarkStart w:id="3" w:name="page3"/>
      <w:bookmarkEnd w:id="3"/>
      <w:r w:rsidRPr="0055640C">
        <w:rPr>
          <w:rFonts w:ascii="Times New Roman" w:eastAsia="Calibri" w:hAnsi="Times New Roman" w:cs="Times New Roman"/>
        </w:rPr>
        <w:t xml:space="preserve">.sniegt informāciju reizi ceturksnī, ja notikusi </w:t>
      </w:r>
      <w:proofErr w:type="spellStart"/>
      <w:r w:rsidRPr="0055640C">
        <w:rPr>
          <w:rFonts w:ascii="Times New Roman" w:eastAsia="Calibri" w:hAnsi="Times New Roman" w:cs="Times New Roman"/>
        </w:rPr>
        <w:t>apakšlietotāju</w:t>
      </w:r>
      <w:proofErr w:type="spellEnd"/>
      <w:r w:rsidRPr="0055640C">
        <w:rPr>
          <w:rFonts w:ascii="Times New Roman" w:eastAsia="Calibri" w:hAnsi="Times New Roman" w:cs="Times New Roman"/>
        </w:rPr>
        <w:t xml:space="preserve"> maiņa.</w:t>
      </w:r>
    </w:p>
    <w:p w:rsidR="008B5FE0" w:rsidRPr="0055640C" w:rsidRDefault="008B5FE0" w:rsidP="008B5FE0">
      <w:pPr>
        <w:widowControl w:val="0"/>
        <w:overflowPunct w:val="0"/>
        <w:autoSpaceDE w:val="0"/>
        <w:autoSpaceDN w:val="0"/>
        <w:adjustRightInd w:val="0"/>
        <w:spacing w:after="0" w:line="276" w:lineRule="auto"/>
        <w:ind w:left="1224"/>
        <w:jc w:val="both"/>
        <w:rPr>
          <w:rFonts w:ascii="Times New Roman" w:eastAsia="Calibri" w:hAnsi="Times New Roman" w:cs="Times New Roman"/>
          <w:b/>
          <w:bCs/>
          <w:color w:val="000000"/>
        </w:rPr>
      </w:pPr>
      <w:r w:rsidRPr="0055640C">
        <w:rPr>
          <w:rFonts w:ascii="Times New Roman" w:eastAsia="Calibri" w:hAnsi="Times New Roman" w:cs="Times New Roman"/>
        </w:rPr>
        <w:t xml:space="preserve">Šāds rakstisks paziņojums pēc Tirgotāja rakstiska akcepta kļūst par Līguma </w:t>
      </w:r>
      <w:r w:rsidRPr="0055640C">
        <w:rPr>
          <w:rFonts w:ascii="Times New Roman" w:eastAsia="Calibri" w:hAnsi="Times New Roman" w:cs="Times New Roman"/>
          <w:color w:val="000000"/>
        </w:rPr>
        <w:t>neatņemamu sastāvdaļu.</w:t>
      </w:r>
    </w:p>
    <w:p w:rsidR="008B5FE0" w:rsidRPr="0055640C" w:rsidRDefault="008B5FE0" w:rsidP="008B5FE0">
      <w:pPr>
        <w:widowControl w:val="0"/>
        <w:numPr>
          <w:ilvl w:val="1"/>
          <w:numId w:val="2"/>
        </w:numPr>
        <w:overflowPunct w:val="0"/>
        <w:autoSpaceDE w:val="0"/>
        <w:autoSpaceDN w:val="0"/>
        <w:adjustRightInd w:val="0"/>
        <w:spacing w:after="0" w:line="276" w:lineRule="auto"/>
        <w:ind w:hanging="508"/>
        <w:jc w:val="both"/>
        <w:rPr>
          <w:rFonts w:ascii="Times New Roman" w:eastAsia="Calibri" w:hAnsi="Times New Roman" w:cs="Times New Roman"/>
          <w:bCs/>
          <w:color w:val="000000"/>
        </w:rPr>
      </w:pPr>
      <w:r w:rsidRPr="0055640C">
        <w:rPr>
          <w:rFonts w:ascii="Times New Roman" w:eastAsia="Calibri" w:hAnsi="Times New Roman" w:cs="Times New Roman"/>
          <w:bCs/>
          <w:color w:val="000000"/>
        </w:rPr>
        <w:t xml:space="preserve"> Lietotāja tiesības:</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color w:val="000000"/>
        </w:rPr>
      </w:pPr>
      <w:r w:rsidRPr="0055640C">
        <w:rPr>
          <w:rFonts w:ascii="Times New Roman" w:eastAsia="Calibri" w:hAnsi="Times New Roman" w:cs="Times New Roman"/>
          <w:color w:val="000000"/>
        </w:rPr>
        <w:t xml:space="preserve">saņemt Latvijas Republikas normatīvajos aktos noteiktajā kārtībā balansēšanas pakalpojumu;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organizēt savu elektroietaišu kvalificētu apkalpošanu un nodrošināt tehnisko stāvokli atbilstoši elektroietaišu tehniskās ekspluatācijas un elektrodrošības noteikumu prasībām; </w:t>
      </w:r>
    </w:p>
    <w:p w:rsidR="008B5FE0" w:rsidRPr="0055640C" w:rsidRDefault="008B5FE0" w:rsidP="008B5FE0">
      <w:pPr>
        <w:widowControl w:val="0"/>
        <w:numPr>
          <w:ilvl w:val="2"/>
          <w:numId w:val="2"/>
        </w:numPr>
        <w:overflowPunct w:val="0"/>
        <w:autoSpaceDE w:val="0"/>
        <w:autoSpaceDN w:val="0"/>
        <w:adjustRightInd w:val="0"/>
        <w:spacing w:after="0" w:line="276" w:lineRule="auto"/>
        <w:ind w:left="1985" w:hanging="709"/>
        <w:jc w:val="both"/>
        <w:rPr>
          <w:rFonts w:ascii="Times New Roman" w:eastAsia="Calibri" w:hAnsi="Times New Roman" w:cs="Times New Roman"/>
          <w:b/>
          <w:bCs/>
        </w:rPr>
      </w:pPr>
      <w:r w:rsidRPr="0055640C">
        <w:rPr>
          <w:rFonts w:ascii="Times New Roman" w:eastAsia="Calibri" w:hAnsi="Times New Roman" w:cs="Times New Roman"/>
        </w:rPr>
        <w:t xml:space="preserve">samazināt vai palielināt elektroenerģijas apjomus, un aktualizējot  sarakstā  norādīto  elektroenerģijas patērējošo objektu  sarakstu, izslēdzot  no tā vai papildinot to ar </w:t>
      </w:r>
      <w:r w:rsidRPr="0055640C">
        <w:rPr>
          <w:rFonts w:ascii="Times New Roman" w:eastAsia="Calibri" w:hAnsi="Times New Roman" w:cs="Times New Roman"/>
        </w:rPr>
        <w:lastRenderedPageBreak/>
        <w:t>jauniem elektroenerģiju patērējošiem objektiem.</w:t>
      </w:r>
    </w:p>
    <w:p w:rsidR="008B5FE0" w:rsidRPr="0055640C" w:rsidRDefault="008B5FE0" w:rsidP="008B5FE0">
      <w:pPr>
        <w:widowControl w:val="0"/>
        <w:overflowPunct w:val="0"/>
        <w:autoSpaceDE w:val="0"/>
        <w:autoSpaceDN w:val="0"/>
        <w:adjustRightInd w:val="0"/>
        <w:spacing w:after="0" w:line="276" w:lineRule="auto"/>
        <w:ind w:left="1276"/>
        <w:jc w:val="both"/>
        <w:rPr>
          <w:rFonts w:ascii="Times New Roman" w:eastAsia="Calibri" w:hAnsi="Times New Roman" w:cs="Times New Roman"/>
          <w:b/>
          <w:bCs/>
        </w:rPr>
      </w:pPr>
      <w:r w:rsidRPr="0055640C">
        <w:rPr>
          <w:rFonts w:ascii="Times New Roman" w:eastAsia="Calibri" w:hAnsi="Times New Roman" w:cs="Times New Roman"/>
        </w:rPr>
        <w:t xml:space="preserve">Norādītie apjomi ir uzskatāmi par prognozējamiem iepirkuma apjomiem Līguma darbības termiņā. </w:t>
      </w:r>
    </w:p>
    <w:p w:rsidR="008B5FE0" w:rsidRPr="0055640C" w:rsidRDefault="008B5FE0" w:rsidP="008B5FE0">
      <w:pPr>
        <w:widowControl w:val="0"/>
        <w:overflowPunct w:val="0"/>
        <w:autoSpaceDE w:val="0"/>
        <w:autoSpaceDN w:val="0"/>
        <w:adjustRightInd w:val="0"/>
        <w:spacing w:after="0" w:line="276" w:lineRule="auto"/>
        <w:ind w:left="1276"/>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jc w:val="center"/>
        <w:rPr>
          <w:rFonts w:ascii="Times New Roman" w:eastAsia="Calibri" w:hAnsi="Times New Roman" w:cs="Times New Roman"/>
          <w:b/>
          <w:bCs/>
        </w:rPr>
      </w:pPr>
      <w:r w:rsidRPr="0055640C">
        <w:rPr>
          <w:rFonts w:ascii="Times New Roman" w:eastAsia="Calibri" w:hAnsi="Times New Roman" w:cs="Times New Roman"/>
          <w:b/>
          <w:bCs/>
        </w:rPr>
        <w:t>ATBILDĪBA UN SANKCIJAS</w:t>
      </w:r>
    </w:p>
    <w:p w:rsidR="008B5FE0" w:rsidRPr="0055640C" w:rsidRDefault="008B5FE0" w:rsidP="008B5FE0">
      <w:pPr>
        <w:widowControl w:val="0"/>
        <w:numPr>
          <w:ilvl w:val="1"/>
          <w:numId w:val="2"/>
        </w:numPr>
        <w:overflowPunct w:val="0"/>
        <w:autoSpaceDE w:val="0"/>
        <w:autoSpaceDN w:val="0"/>
        <w:adjustRightInd w:val="0"/>
        <w:spacing w:after="0" w:line="276" w:lineRule="auto"/>
        <w:ind w:hanging="508"/>
        <w:jc w:val="both"/>
        <w:rPr>
          <w:rFonts w:ascii="Times New Roman" w:eastAsia="Calibri" w:hAnsi="Times New Roman" w:cs="Times New Roman"/>
          <w:b/>
          <w:bCs/>
        </w:rPr>
      </w:pPr>
      <w:r w:rsidRPr="0055640C">
        <w:rPr>
          <w:rFonts w:ascii="Times New Roman" w:eastAsia="Times New Roman" w:hAnsi="Times New Roman" w:cs="Times New Roman"/>
          <w:lang w:eastAsia="lv-LV"/>
        </w:rPr>
        <w:t xml:space="preserve"> Puses ir atbildīgas par Līgumā noteikto saistību pilnīgu izpildi, atbilstoši Līguma nosacījumiem.</w:t>
      </w:r>
    </w:p>
    <w:p w:rsidR="008B5FE0" w:rsidRPr="0055640C" w:rsidRDefault="008B5FE0" w:rsidP="008B5FE0">
      <w:pPr>
        <w:widowControl w:val="0"/>
        <w:numPr>
          <w:ilvl w:val="1"/>
          <w:numId w:val="2"/>
        </w:numPr>
        <w:overflowPunct w:val="0"/>
        <w:autoSpaceDE w:val="0"/>
        <w:autoSpaceDN w:val="0"/>
        <w:adjustRightInd w:val="0"/>
        <w:spacing w:after="0" w:line="276" w:lineRule="auto"/>
        <w:ind w:hanging="508"/>
        <w:jc w:val="both"/>
        <w:rPr>
          <w:rFonts w:ascii="Times New Roman" w:eastAsia="Calibri" w:hAnsi="Times New Roman" w:cs="Times New Roman"/>
          <w:b/>
          <w:bCs/>
        </w:rPr>
      </w:pPr>
      <w:r w:rsidRPr="0055640C">
        <w:rPr>
          <w:rFonts w:ascii="Times New Roman" w:eastAsia="Calibri" w:hAnsi="Times New Roman" w:cs="Times New Roman"/>
        </w:rPr>
        <w:t xml:space="preserve"> Pušu atbildība tiek regulēta saskaņā ar Elektroenerģijas tirgus likumu, Elektroenerģijas tirdzniecības un lietošanas noteikumiem un citiem saistošajiem un spēkā esošajiem Latvijas Republikas normatīvajiem aktiem.</w:t>
      </w:r>
    </w:p>
    <w:p w:rsidR="008B5FE0" w:rsidRPr="0055640C" w:rsidRDefault="008B5FE0" w:rsidP="008B5FE0">
      <w:pPr>
        <w:widowControl w:val="0"/>
        <w:numPr>
          <w:ilvl w:val="1"/>
          <w:numId w:val="2"/>
        </w:numPr>
        <w:overflowPunct w:val="0"/>
        <w:autoSpaceDE w:val="0"/>
        <w:autoSpaceDN w:val="0"/>
        <w:adjustRightInd w:val="0"/>
        <w:spacing w:after="0" w:line="276" w:lineRule="auto"/>
        <w:ind w:hanging="508"/>
        <w:jc w:val="both"/>
        <w:rPr>
          <w:rFonts w:ascii="Times New Roman" w:eastAsia="Calibri" w:hAnsi="Times New Roman" w:cs="Times New Roman"/>
          <w:b/>
          <w:bCs/>
        </w:rPr>
      </w:pPr>
      <w:r w:rsidRPr="0055640C">
        <w:rPr>
          <w:rFonts w:ascii="Times New Roman" w:eastAsia="Times New Roman" w:hAnsi="Times New Roman" w:cs="Times New Roman"/>
          <w:lang w:eastAsia="lv-LV"/>
        </w:rPr>
        <w:t xml:space="preserve"> Par līgumsaistību pienācīgu neizpildi Puses ir atbildīgas saskaņā ar šo Līgumu, Civillikumu un citiem Latvijas Republikā spēkā esošajiem normatīvajiem aktiem, kas attiecas uz Pakalpojuma izpildi.</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 xml:space="preserve">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 </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Times New Roman" w:hAnsi="Times New Roman" w:cs="Times New Roman"/>
          <w:lang w:eastAsia="lv-LV"/>
        </w:rPr>
        <w:t>Ja Tirgotāja vainas dēļ noticis elektroenerģijas piegādes pārtraukums Lietotājam, kā rezultātā Lietotājam radušies zaudējumi, Tirgotājs tos atlīdzina Lietotājam. Tirgotājs pēc Lietotāja pieprasījuma sniedz apstiprinājumu par elektroenerģijas pārtraukumu;</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Times New Roman" w:hAnsi="Times New Roman" w:cs="Times New Roman"/>
          <w:lang w:eastAsia="lv-LV"/>
        </w:rPr>
        <w:t>Ja Pusēm rodas domstarpības par zaudējumu rašanās cēloni un apjomu, Puses vienojas par neatkarīga eksperta pieaicināšanu, kura pakalpojumus sedz vainīgā Puse;</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rPr>
        <w:t xml:space="preserve">Rēķina apmaksas kavējuma gadījumā Lietotājam par katru nokavēto apmaksas dienu jāmaksā līgumsods 0,10 % apmērā no parādu summas, bet ne vairāk kā 5 % no parādu summas. </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Times New Roman" w:hAnsi="Times New Roman" w:cs="Times New Roman"/>
          <w:lang w:eastAsia="lv-LV"/>
        </w:rPr>
        <w:t>Līgumsoda samaksa neatbrīvo no Līgumā paredzēto saistību veikšanas.</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Times New Roman" w:hAnsi="Times New Roman" w:cs="Times New Roman"/>
          <w:lang w:eastAsia="lv-LV"/>
        </w:rPr>
        <w:t>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Ja nepārvaramas varas apstākļi ilgst vairāk kā 2 (divus) kalendāros mēnešus pēc kārtas, Puses ir tiesīgas vienpusēji izbeigt Līgumu. Šajā gadījumā neviena no Pusēm nav tiesīga pieprasīt zaudējumu atlīdzināšanu, kas radušies šādā veidā.</w:t>
      </w:r>
    </w:p>
    <w:p w:rsidR="008B5FE0" w:rsidRPr="0055640C" w:rsidRDefault="008B5FE0" w:rsidP="008B5FE0">
      <w:pPr>
        <w:widowControl w:val="0"/>
        <w:numPr>
          <w:ilvl w:val="1"/>
          <w:numId w:val="2"/>
        </w:numPr>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Times New Roman" w:hAnsi="Times New Roman" w:cs="Times New Roman"/>
          <w:lang w:eastAsia="lv-LV"/>
        </w:rPr>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rsidR="008B5FE0" w:rsidRPr="0055640C" w:rsidRDefault="008B5FE0" w:rsidP="008B5FE0">
      <w:pPr>
        <w:widowControl w:val="0"/>
        <w:overflowPunct w:val="0"/>
        <w:autoSpaceDE w:val="0"/>
        <w:autoSpaceDN w:val="0"/>
        <w:adjustRightInd w:val="0"/>
        <w:spacing w:after="0" w:line="240" w:lineRule="auto"/>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ind w:left="357" w:hanging="357"/>
        <w:jc w:val="center"/>
        <w:rPr>
          <w:rFonts w:ascii="Times New Roman" w:eastAsia="Calibri" w:hAnsi="Times New Roman" w:cs="Times New Roman"/>
          <w:b/>
          <w:bCs/>
        </w:rPr>
      </w:pPr>
      <w:r w:rsidRPr="0055640C">
        <w:rPr>
          <w:rFonts w:ascii="Times New Roman" w:eastAsia="Calibri" w:hAnsi="Times New Roman" w:cs="Times New Roman"/>
          <w:b/>
          <w:bCs/>
        </w:rPr>
        <w:t>LĪGUMA IZBEIGŠANA UN GROZĪŠANA</w:t>
      </w:r>
    </w:p>
    <w:p w:rsidR="008B5FE0" w:rsidRPr="0055640C" w:rsidRDefault="008B5FE0" w:rsidP="008B5FE0">
      <w:pPr>
        <w:numPr>
          <w:ilvl w:val="1"/>
          <w:numId w:val="2"/>
        </w:numPr>
        <w:tabs>
          <w:tab w:val="left" w:pos="540"/>
        </w:tabs>
        <w:spacing w:after="0" w:line="240" w:lineRule="auto"/>
        <w:ind w:left="709" w:hanging="567"/>
        <w:contextualSpacing/>
        <w:jc w:val="both"/>
        <w:rPr>
          <w:rFonts w:ascii="Times New Roman" w:eastAsia="Calibri" w:hAnsi="Times New Roman" w:cs="Times New Roman"/>
          <w:b/>
          <w:lang w:eastAsia="lv-LV"/>
        </w:rPr>
      </w:pPr>
      <w:r w:rsidRPr="0055640C">
        <w:rPr>
          <w:rFonts w:ascii="Times New Roman" w:eastAsia="Calibri" w:hAnsi="Times New Roman" w:cs="Times New Roman"/>
          <w:lang w:eastAsia="lv-LV"/>
        </w:rPr>
        <w:t xml:space="preserve">   Puses, savstarpēji vienojoties, ir tiesīgas veikt grozījumus un papildinājumus  jebkurā no Līguma daļām. Ikviena Līguma izmaiņa tiek noformēta </w:t>
      </w:r>
      <w:proofErr w:type="spellStart"/>
      <w:r w:rsidRPr="0055640C">
        <w:rPr>
          <w:rFonts w:ascii="Times New Roman" w:eastAsia="Calibri" w:hAnsi="Times New Roman" w:cs="Times New Roman"/>
          <w:lang w:eastAsia="lv-LV"/>
        </w:rPr>
        <w:t>rakstveidā</w:t>
      </w:r>
      <w:proofErr w:type="spellEnd"/>
      <w:r w:rsidRPr="0055640C">
        <w:rPr>
          <w:rFonts w:ascii="Times New Roman" w:eastAsia="Calibri" w:hAnsi="Times New Roman" w:cs="Times New Roman"/>
          <w:lang w:eastAsia="lv-LV"/>
        </w:rPr>
        <w:t xml:space="preserve"> un parakstīta. Jebkuri grozījumi vai papildinājumi kļūst par Līguma neatņemamu sastāvdaļu. </w:t>
      </w:r>
    </w:p>
    <w:p w:rsidR="008B5FE0" w:rsidRPr="0055640C" w:rsidRDefault="008B5FE0" w:rsidP="008B5FE0">
      <w:pPr>
        <w:numPr>
          <w:ilvl w:val="1"/>
          <w:numId w:val="2"/>
        </w:numPr>
        <w:tabs>
          <w:tab w:val="left" w:pos="540"/>
        </w:tabs>
        <w:spacing w:after="0" w:line="240" w:lineRule="auto"/>
        <w:ind w:left="709" w:hanging="567"/>
        <w:contextualSpacing/>
        <w:jc w:val="both"/>
        <w:rPr>
          <w:rFonts w:ascii="Times New Roman" w:eastAsia="Calibri" w:hAnsi="Times New Roman" w:cs="Times New Roman"/>
          <w:b/>
          <w:lang w:eastAsia="lv-LV"/>
        </w:rPr>
      </w:pPr>
      <w:r w:rsidRPr="0055640C">
        <w:rPr>
          <w:rFonts w:ascii="Times New Roman" w:eastAsia="Calibri" w:hAnsi="Times New Roman" w:cs="Times New Roman"/>
          <w:lang w:eastAsia="lv-LV"/>
        </w:rPr>
        <w:t xml:space="preserve">   Pusēm ir tiesības vienpusēji izbeigt Līgumu, </w:t>
      </w:r>
      <w:proofErr w:type="spellStart"/>
      <w:r w:rsidRPr="0055640C">
        <w:rPr>
          <w:rFonts w:ascii="Times New Roman" w:eastAsia="Calibri" w:hAnsi="Times New Roman" w:cs="Times New Roman"/>
          <w:lang w:eastAsia="lv-LV"/>
        </w:rPr>
        <w:t>rakstveidā</w:t>
      </w:r>
      <w:proofErr w:type="spellEnd"/>
      <w:r w:rsidRPr="0055640C">
        <w:rPr>
          <w:rFonts w:ascii="Times New Roman" w:eastAsia="Calibri" w:hAnsi="Times New Roman" w:cs="Times New Roman"/>
          <w:lang w:eastAsia="lv-LV"/>
        </w:rPr>
        <w:t xml:space="preserve"> paziņojot par to otrai Pusei 1 (vienu) mēnesi iepriekš.  </w:t>
      </w:r>
    </w:p>
    <w:p w:rsidR="008B5FE0" w:rsidRPr="0055640C" w:rsidRDefault="008B5FE0" w:rsidP="008B5FE0">
      <w:pPr>
        <w:numPr>
          <w:ilvl w:val="1"/>
          <w:numId w:val="2"/>
        </w:numPr>
        <w:tabs>
          <w:tab w:val="left" w:pos="540"/>
        </w:tabs>
        <w:spacing w:after="0" w:line="240" w:lineRule="auto"/>
        <w:ind w:left="709" w:hanging="567"/>
        <w:contextualSpacing/>
        <w:jc w:val="both"/>
        <w:rPr>
          <w:rFonts w:ascii="Times New Roman" w:eastAsia="Calibri" w:hAnsi="Times New Roman" w:cs="Times New Roman"/>
          <w:b/>
          <w:color w:val="000000"/>
          <w:lang w:eastAsia="lv-LV"/>
        </w:rPr>
      </w:pPr>
      <w:r w:rsidRPr="0055640C">
        <w:rPr>
          <w:rFonts w:ascii="Times New Roman" w:eastAsia="Calibri" w:hAnsi="Times New Roman" w:cs="Times New Roman"/>
        </w:rPr>
        <w:t xml:space="preserve">   Tirgotājam ir tiesības izbeigt šo Līgumu, ja nav spēkā vai spēku zaudējis Lietotāja </w:t>
      </w:r>
      <w:r w:rsidRPr="0055640C">
        <w:rPr>
          <w:rFonts w:ascii="Times New Roman" w:eastAsia="Calibri" w:hAnsi="Times New Roman" w:cs="Times New Roman"/>
          <w:color w:val="000000"/>
        </w:rPr>
        <w:t xml:space="preserve">noslēgtais sistēmas pakalpojumu līgums. </w:t>
      </w:r>
    </w:p>
    <w:p w:rsidR="008B5FE0" w:rsidRPr="0055640C" w:rsidRDefault="008B5FE0" w:rsidP="008B5FE0">
      <w:pPr>
        <w:numPr>
          <w:ilvl w:val="1"/>
          <w:numId w:val="2"/>
        </w:numPr>
        <w:tabs>
          <w:tab w:val="left" w:pos="540"/>
        </w:tabs>
        <w:spacing w:after="0" w:line="240" w:lineRule="auto"/>
        <w:ind w:left="709" w:hanging="567"/>
        <w:contextualSpacing/>
        <w:jc w:val="both"/>
        <w:rPr>
          <w:rFonts w:ascii="Times New Roman" w:eastAsia="Calibri" w:hAnsi="Times New Roman" w:cs="Times New Roman"/>
          <w:b/>
          <w:color w:val="000000"/>
          <w:lang w:eastAsia="lv-LV"/>
        </w:rPr>
      </w:pPr>
      <w:r w:rsidRPr="0055640C">
        <w:rPr>
          <w:rFonts w:ascii="Times New Roman" w:eastAsia="Calibri" w:hAnsi="Times New Roman" w:cs="Times New Roman"/>
          <w:color w:val="000000"/>
        </w:rPr>
        <w:t xml:space="preserve">   Līguma darbība pilnībā vai attiecībā uz kādu konkrētu Lietotāja objektu tiek izbeigta izbeidzoties Lietotāja lietošanas vai īpašuma tiesībām uz objektu.</w:t>
      </w:r>
    </w:p>
    <w:p w:rsidR="008B5FE0" w:rsidRPr="0055640C" w:rsidRDefault="008B5FE0" w:rsidP="008B5FE0">
      <w:pPr>
        <w:numPr>
          <w:ilvl w:val="1"/>
          <w:numId w:val="2"/>
        </w:numPr>
        <w:tabs>
          <w:tab w:val="left" w:pos="540"/>
        </w:tabs>
        <w:spacing w:after="0" w:line="240" w:lineRule="auto"/>
        <w:ind w:left="709" w:hanging="567"/>
        <w:contextualSpacing/>
        <w:jc w:val="both"/>
        <w:rPr>
          <w:rFonts w:ascii="Times New Roman" w:eastAsia="Calibri" w:hAnsi="Times New Roman" w:cs="Times New Roman"/>
          <w:b/>
          <w:lang w:eastAsia="lv-LV"/>
        </w:rPr>
      </w:pPr>
      <w:r w:rsidRPr="0055640C">
        <w:rPr>
          <w:rFonts w:ascii="Times New Roman" w:eastAsia="Calibri" w:hAnsi="Times New Roman" w:cs="Times New Roman"/>
          <w:lang w:eastAsia="lv-LV"/>
        </w:rPr>
        <w:t xml:space="preserve">   Ja Lietotājs vai Tirgotājs izmanto tiesības vienpusēji izbeigt Līgumu, Puses sastāda atsevišķu aktu par faktiski kvalitatīvi veiktā pakalpojuma apjomu un tā vērtību.</w:t>
      </w:r>
    </w:p>
    <w:p w:rsidR="008B5FE0" w:rsidRPr="0055640C" w:rsidRDefault="008B5FE0" w:rsidP="008B5FE0">
      <w:pPr>
        <w:numPr>
          <w:ilvl w:val="1"/>
          <w:numId w:val="2"/>
        </w:numPr>
        <w:tabs>
          <w:tab w:val="left" w:pos="540"/>
        </w:tabs>
        <w:spacing w:after="0" w:line="240" w:lineRule="auto"/>
        <w:ind w:left="709" w:hanging="567"/>
        <w:contextualSpacing/>
        <w:jc w:val="both"/>
        <w:rPr>
          <w:rFonts w:ascii="Times New Roman" w:eastAsia="Calibri" w:hAnsi="Times New Roman" w:cs="Times New Roman"/>
          <w:b/>
          <w:lang w:eastAsia="lv-LV"/>
        </w:rPr>
      </w:pPr>
      <w:r w:rsidRPr="0055640C">
        <w:rPr>
          <w:rFonts w:ascii="Times New Roman" w:eastAsia="Calibri" w:hAnsi="Times New Roman" w:cs="Times New Roman"/>
          <w:lang w:eastAsia="lv-LV"/>
        </w:rPr>
        <w:t xml:space="preserve">  Līguma izbeigšana saistību neizpildes dēļ neierobežo tiesības uz zaudējumu atlīdzību vai līgumsodu. </w:t>
      </w:r>
    </w:p>
    <w:p w:rsidR="008B5FE0" w:rsidRPr="0055640C" w:rsidRDefault="008B5FE0" w:rsidP="008B5FE0">
      <w:pPr>
        <w:widowControl w:val="0"/>
        <w:tabs>
          <w:tab w:val="left" w:pos="851"/>
        </w:tabs>
        <w:overflowPunct w:val="0"/>
        <w:autoSpaceDE w:val="0"/>
        <w:autoSpaceDN w:val="0"/>
        <w:adjustRightInd w:val="0"/>
        <w:spacing w:after="0" w:line="240" w:lineRule="auto"/>
        <w:ind w:left="792"/>
        <w:jc w:val="both"/>
        <w:rPr>
          <w:rFonts w:ascii="Times New Roman" w:eastAsia="Calibri" w:hAnsi="Times New Roman" w:cs="Times New Roman"/>
          <w:b/>
          <w:bCs/>
        </w:rPr>
      </w:pPr>
    </w:p>
    <w:p w:rsidR="008B5FE0" w:rsidRPr="0055640C" w:rsidRDefault="008B5FE0" w:rsidP="008B5FE0">
      <w:pPr>
        <w:widowControl w:val="0"/>
        <w:numPr>
          <w:ilvl w:val="0"/>
          <w:numId w:val="2"/>
        </w:numPr>
        <w:overflowPunct w:val="0"/>
        <w:autoSpaceDE w:val="0"/>
        <w:autoSpaceDN w:val="0"/>
        <w:adjustRightInd w:val="0"/>
        <w:spacing w:after="0" w:line="276" w:lineRule="auto"/>
        <w:ind w:left="357" w:hanging="357"/>
        <w:jc w:val="center"/>
        <w:rPr>
          <w:rFonts w:ascii="Times New Roman" w:eastAsia="Calibri" w:hAnsi="Times New Roman" w:cs="Times New Roman"/>
          <w:b/>
          <w:bCs/>
        </w:rPr>
      </w:pPr>
      <w:r w:rsidRPr="0055640C">
        <w:rPr>
          <w:rFonts w:ascii="Times New Roman" w:eastAsia="Calibri" w:hAnsi="Times New Roman" w:cs="Times New Roman"/>
          <w:b/>
          <w:bCs/>
        </w:rPr>
        <w:t>CITI NOTEIKUMI</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
          <w:bCs/>
        </w:rPr>
      </w:pPr>
      <w:r w:rsidRPr="0055640C">
        <w:rPr>
          <w:rFonts w:ascii="Times New Roman" w:eastAsia="Calibri" w:hAnsi="Times New Roman" w:cs="Times New Roman"/>
          <w:lang w:eastAsia="lv-LV"/>
        </w:rPr>
        <w:t xml:space="preserve">8.1.   </w:t>
      </w:r>
      <w:r w:rsidRPr="0055640C">
        <w:rPr>
          <w:rFonts w:ascii="Times New Roman" w:eastAsia="Calibri" w:hAnsi="Times New Roman" w:cs="Times New Roman"/>
        </w:rPr>
        <w:t xml:space="preserve">Līguma darbības laikā, kā arī pēc tam, Puses saglabā tehnisko un biznesa attiecību, tai skaitā Līguma nosacījumu un cenu informācijas konfidencialitāti, kas Pusēm kļuva zināmas saistībā ar šo Līgumu </w:t>
      </w:r>
      <w:r w:rsidRPr="0055640C">
        <w:rPr>
          <w:rFonts w:ascii="Times New Roman" w:eastAsia="Calibri" w:hAnsi="Times New Roman" w:cs="Times New Roman"/>
        </w:rPr>
        <w:lastRenderedPageBreak/>
        <w:t>vai Līguma darbības laikā. Puses apņemas neizpaust nekāda veida informāciju trešajām personām bez otras Puses rakstiskas piekrišanas un pilnībā apņemas kompensēs otrai Pusei par jebkādu kaitējumu, kas rodas vai radās informācijas konfidencialitātes pienākuma neievērošanas rezultātā.</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rPr>
      </w:pPr>
      <w:r w:rsidRPr="0055640C">
        <w:rPr>
          <w:rFonts w:ascii="Times New Roman" w:eastAsia="Calibri" w:hAnsi="Times New Roman" w:cs="Times New Roman"/>
          <w:bCs/>
        </w:rPr>
        <w:t xml:space="preserve">8.2.  </w:t>
      </w:r>
      <w:r w:rsidRPr="0055640C">
        <w:rPr>
          <w:rFonts w:ascii="Times New Roman" w:eastAsia="Calibri" w:hAnsi="Times New Roman" w:cs="Times New Roman"/>
          <w:lang w:eastAsia="lv-LV"/>
        </w:rPr>
        <w:t xml:space="preserve">Pusei ir pienākums 5 (piecu) dienu laikā </w:t>
      </w:r>
      <w:proofErr w:type="spellStart"/>
      <w:r w:rsidRPr="0055640C">
        <w:rPr>
          <w:rFonts w:ascii="Times New Roman" w:eastAsia="Calibri" w:hAnsi="Times New Roman" w:cs="Times New Roman"/>
          <w:lang w:eastAsia="lv-LV"/>
        </w:rPr>
        <w:t>rakstveidā</w:t>
      </w:r>
      <w:proofErr w:type="spellEnd"/>
      <w:r w:rsidRPr="0055640C">
        <w:rPr>
          <w:rFonts w:ascii="Times New Roman" w:eastAsia="Calibri" w:hAnsi="Times New Roman" w:cs="Times New Roman"/>
          <w:lang w:eastAsia="lv-LV"/>
        </w:rPr>
        <w:t xml:space="preserve"> - ierakstītas vēstules veidā paziņot otrai Pusei par šajā Līgumā norādīto rekvizītu, paraksta tiesību un adrešu maiņu, pretējā gadījumā nepaziņojusī Puse nevar atsaukties uz saistību neizpildi, ko izraisījis nepaziņošanas fakts.</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rPr>
      </w:pPr>
      <w:r w:rsidRPr="0055640C">
        <w:rPr>
          <w:rFonts w:ascii="Times New Roman" w:eastAsia="Calibri" w:hAnsi="Times New Roman" w:cs="Times New Roman"/>
          <w:bCs/>
        </w:rPr>
        <w:t>8.</w:t>
      </w:r>
      <w:r w:rsidRPr="0055640C">
        <w:rPr>
          <w:rFonts w:ascii="Times New Roman" w:eastAsia="Calibri" w:hAnsi="Times New Roman" w:cs="Times New Roman"/>
          <w:color w:val="000000"/>
          <w:lang w:eastAsia="lv-LV"/>
        </w:rPr>
        <w:t xml:space="preserve">3.   Lietotājs par pilnvaroto pārstāvi Līguma izpildes laikā nosaka Māri </w:t>
      </w:r>
      <w:proofErr w:type="spellStart"/>
      <w:r w:rsidRPr="0055640C">
        <w:rPr>
          <w:rFonts w:ascii="Times New Roman" w:eastAsia="Calibri" w:hAnsi="Times New Roman" w:cs="Times New Roman"/>
          <w:color w:val="000000"/>
          <w:lang w:eastAsia="lv-LV"/>
        </w:rPr>
        <w:t>Garkuli</w:t>
      </w:r>
      <w:proofErr w:type="spellEnd"/>
      <w:r w:rsidRPr="0055640C">
        <w:rPr>
          <w:rFonts w:ascii="Times New Roman" w:eastAsia="Calibri" w:hAnsi="Times New Roman" w:cs="Times New Roman"/>
          <w:iCs/>
          <w:color w:val="000000"/>
          <w:lang w:eastAsia="lv-LV"/>
        </w:rPr>
        <w:t xml:space="preserve">, mob. </w:t>
      </w:r>
      <w:r w:rsidRPr="0055640C">
        <w:rPr>
          <w:rFonts w:ascii="Times New Roman" w:eastAsia="Calibri" w:hAnsi="Times New Roman" w:cs="Times New Roman"/>
          <w:color w:val="000000"/>
          <w:lang w:eastAsia="lv-LV"/>
        </w:rPr>
        <w:t xml:space="preserve">tālrunis </w:t>
      </w:r>
      <w:r w:rsidRPr="0055640C">
        <w:rPr>
          <w:rFonts w:ascii="Times New Roman" w:eastAsia="Times New Roman" w:hAnsi="Times New Roman" w:cs="Times New Roman"/>
          <w:lang w:eastAsia="lv-LV"/>
        </w:rPr>
        <w:t>+371 25 907 373</w:t>
      </w:r>
      <w:r w:rsidRPr="0055640C">
        <w:rPr>
          <w:rFonts w:ascii="Times New Roman" w:eastAsia="Calibri" w:hAnsi="Times New Roman" w:cs="Times New Roman"/>
          <w:color w:val="000000"/>
          <w:lang w:eastAsia="lv-LV"/>
        </w:rPr>
        <w:t xml:space="preserve">, e-pasts: </w:t>
      </w:r>
      <w:r w:rsidRPr="0055640C">
        <w:rPr>
          <w:rFonts w:ascii="Times New Roman" w:eastAsia="Calibri" w:hAnsi="Times New Roman" w:cs="Times New Roman"/>
          <w:lang w:eastAsia="lv-LV"/>
        </w:rPr>
        <w:t>maris.garkuls@labiekartosana.lv.</w:t>
      </w:r>
      <w:r w:rsidRPr="0055640C">
        <w:rPr>
          <w:rFonts w:ascii="Times New Roman" w:eastAsia="Calibri" w:hAnsi="Times New Roman" w:cs="Times New Roman"/>
          <w:color w:val="000000"/>
          <w:u w:val="single"/>
          <w:lang w:eastAsia="lv-LV"/>
        </w:rPr>
        <w:t xml:space="preserve">   </w:t>
      </w:r>
      <w:r w:rsidRPr="0055640C">
        <w:rPr>
          <w:rFonts w:ascii="Times New Roman" w:eastAsia="Calibri" w:hAnsi="Times New Roman" w:cs="Times New Roman"/>
          <w:color w:val="000000"/>
          <w:lang w:eastAsia="lv-LV"/>
        </w:rPr>
        <w:t xml:space="preserve"> </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color w:val="C00000"/>
        </w:rPr>
      </w:pPr>
      <w:r w:rsidRPr="0055640C">
        <w:rPr>
          <w:rFonts w:ascii="Times New Roman" w:eastAsia="Calibri" w:hAnsi="Times New Roman" w:cs="Times New Roman"/>
          <w:bCs/>
        </w:rPr>
        <w:t>8.</w:t>
      </w:r>
      <w:r w:rsidRPr="0055640C">
        <w:rPr>
          <w:rFonts w:ascii="Times New Roman" w:eastAsia="Calibri" w:hAnsi="Times New Roman" w:cs="Times New Roman"/>
          <w:color w:val="000000"/>
          <w:lang w:eastAsia="lv-LV"/>
        </w:rPr>
        <w:t xml:space="preserve">4. </w:t>
      </w:r>
      <w:r w:rsidRPr="0055640C">
        <w:rPr>
          <w:rFonts w:ascii="Times New Roman" w:eastAsia="Calibri" w:hAnsi="Times New Roman" w:cs="Times New Roman"/>
          <w:lang w:eastAsia="lv-LV"/>
        </w:rPr>
        <w:t xml:space="preserve">Tirgotājs par pilnvaroto pārstāvi Līguma izpildes laikā nosaka Lindu Popovu, mob. tālrunis +371 28472883, e-pasts: info@interrao.lv; </w:t>
      </w:r>
      <w:hyperlink r:id="rId8" w:history="1">
        <w:r w:rsidRPr="0055640C">
          <w:rPr>
            <w:rStyle w:val="Hyperlink"/>
            <w:rFonts w:ascii="Times New Roman" w:eastAsia="Calibri" w:hAnsi="Times New Roman" w:cs="Times New Roman"/>
            <w:color w:val="auto"/>
            <w:lang w:eastAsia="lv-LV"/>
          </w:rPr>
          <w:t>l.popova@interrao.lv</w:t>
        </w:r>
      </w:hyperlink>
      <w:r w:rsidRPr="0055640C">
        <w:rPr>
          <w:rFonts w:ascii="Times New Roman" w:eastAsia="Calibri" w:hAnsi="Times New Roman" w:cs="Times New Roman"/>
          <w:lang w:eastAsia="lv-LV"/>
        </w:rPr>
        <w:t xml:space="preserve"> </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rPr>
      </w:pPr>
      <w:r w:rsidRPr="0055640C">
        <w:rPr>
          <w:rFonts w:ascii="Times New Roman" w:eastAsia="Calibri" w:hAnsi="Times New Roman" w:cs="Times New Roman"/>
          <w:bCs/>
        </w:rPr>
        <w:t>8.</w:t>
      </w:r>
      <w:r w:rsidRPr="0055640C">
        <w:rPr>
          <w:rFonts w:ascii="Times New Roman" w:eastAsia="Calibri" w:hAnsi="Times New Roman" w:cs="Times New Roman"/>
          <w:lang w:eastAsia="lv-LV"/>
        </w:rPr>
        <w:t xml:space="preserve">5. Puses apliecina, ka ir iepazinušās ar Līguma noteikumiem un atzīst tos par saprotamiem, saistošiem un izpildāmiem. </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color w:val="000000"/>
          <w:lang w:eastAsia="lv-LV"/>
        </w:rPr>
      </w:pPr>
      <w:r w:rsidRPr="0055640C">
        <w:rPr>
          <w:rFonts w:ascii="Times New Roman" w:eastAsia="Calibri" w:hAnsi="Times New Roman" w:cs="Times New Roman"/>
          <w:bCs/>
        </w:rPr>
        <w:t>8.</w:t>
      </w:r>
      <w:r w:rsidRPr="0055640C">
        <w:rPr>
          <w:rFonts w:ascii="Times New Roman" w:eastAsia="Calibri" w:hAnsi="Times New Roman" w:cs="Times New Roman"/>
          <w:color w:val="000000"/>
          <w:lang w:eastAsia="lv-LV"/>
        </w:rPr>
        <w:t>6.   Ja kāds no Līguma noteikumiem zaudē juridisko spēku, tas neietekmē citus Līguma noteikumus.</w:t>
      </w:r>
    </w:p>
    <w:p w:rsidR="008B5FE0" w:rsidRPr="0055640C" w:rsidRDefault="008B5FE0" w:rsidP="008B5FE0">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color w:val="000000"/>
          <w:lang w:eastAsia="lv-LV"/>
        </w:rPr>
      </w:pPr>
      <w:r w:rsidRPr="0055640C">
        <w:rPr>
          <w:rFonts w:ascii="Times New Roman" w:eastAsia="Calibri" w:hAnsi="Times New Roman" w:cs="Times New Roman"/>
          <w:bCs/>
        </w:rPr>
        <w:t>8.</w:t>
      </w:r>
      <w:r w:rsidRPr="0055640C">
        <w:rPr>
          <w:rFonts w:ascii="Times New Roman" w:eastAsia="Calibri" w:hAnsi="Times New Roman" w:cs="Times New Roman"/>
          <w:color w:val="000000"/>
          <w:lang w:eastAsia="lv-LV"/>
        </w:rPr>
        <w:t>7.   Līgums ir sagatavots 2 (divos) identiskos eksemplāros ar vienādu juridisko spēku, no kuriem viens glabājas pie Lietotāja, bet otrs – pie Tirgotāja.</w:t>
      </w:r>
    </w:p>
    <w:p w:rsidR="008B5FE0" w:rsidRPr="0055640C" w:rsidRDefault="008B5FE0" w:rsidP="008B5FE0">
      <w:pPr>
        <w:widowControl w:val="0"/>
        <w:tabs>
          <w:tab w:val="left" w:pos="851"/>
        </w:tabs>
        <w:overflowPunct w:val="0"/>
        <w:autoSpaceDE w:val="0"/>
        <w:autoSpaceDN w:val="0"/>
        <w:adjustRightInd w:val="0"/>
        <w:spacing w:after="0" w:line="276" w:lineRule="auto"/>
        <w:ind w:left="567" w:hanging="425"/>
        <w:jc w:val="both"/>
        <w:rPr>
          <w:rFonts w:ascii="Times New Roman" w:eastAsia="Calibri" w:hAnsi="Times New Roman" w:cs="Times New Roman"/>
          <w:bCs/>
        </w:rPr>
      </w:pPr>
      <w:r w:rsidRPr="0055640C">
        <w:rPr>
          <w:rFonts w:ascii="Times New Roman" w:eastAsia="Calibri" w:hAnsi="Times New Roman" w:cs="Times New Roman"/>
          <w:bCs/>
        </w:rPr>
        <w:t>8.</w:t>
      </w:r>
      <w:r w:rsidRPr="0055640C">
        <w:rPr>
          <w:rFonts w:ascii="Times New Roman" w:eastAsia="Calibri" w:hAnsi="Times New Roman" w:cs="Times New Roman"/>
          <w:color w:val="000000"/>
          <w:lang w:eastAsia="lv-LV"/>
        </w:rPr>
        <w:t>8.   Līgumam ir sekojoši pielikumi:</w:t>
      </w:r>
    </w:p>
    <w:p w:rsidR="008B5FE0" w:rsidRPr="0055640C" w:rsidRDefault="008B5FE0" w:rsidP="008B5FE0">
      <w:pPr>
        <w:widowControl w:val="0"/>
        <w:tabs>
          <w:tab w:val="left" w:pos="993"/>
        </w:tabs>
        <w:overflowPunct w:val="0"/>
        <w:autoSpaceDE w:val="0"/>
        <w:autoSpaceDN w:val="0"/>
        <w:adjustRightInd w:val="0"/>
        <w:spacing w:after="0" w:line="276" w:lineRule="auto"/>
        <w:ind w:left="3261" w:hanging="2268"/>
        <w:jc w:val="both"/>
        <w:rPr>
          <w:rFonts w:ascii="Times New Roman" w:eastAsia="Calibri" w:hAnsi="Times New Roman" w:cs="Times New Roman"/>
        </w:rPr>
      </w:pPr>
      <w:r w:rsidRPr="0055640C">
        <w:rPr>
          <w:rFonts w:ascii="Times New Roman" w:eastAsia="Calibri" w:hAnsi="Times New Roman" w:cs="Times New Roman"/>
          <w:color w:val="000000"/>
          <w:lang w:eastAsia="lv-LV"/>
        </w:rPr>
        <w:t>8.8.1. tehniskās specifikācijas un finanšu piedāvājuma kopijas</w:t>
      </w:r>
      <w:r w:rsidRPr="0055640C">
        <w:rPr>
          <w:rFonts w:ascii="Times New Roman" w:eastAsia="Calibri" w:hAnsi="Times New Roman" w:cs="Times New Roman"/>
        </w:rPr>
        <w:t>, kas ir šī Līguma</w:t>
      </w:r>
    </w:p>
    <w:p w:rsidR="008B5FE0" w:rsidRPr="0055640C" w:rsidRDefault="008B5FE0" w:rsidP="008B5FE0">
      <w:pPr>
        <w:widowControl w:val="0"/>
        <w:tabs>
          <w:tab w:val="left" w:pos="993"/>
        </w:tabs>
        <w:overflowPunct w:val="0"/>
        <w:autoSpaceDE w:val="0"/>
        <w:autoSpaceDN w:val="0"/>
        <w:adjustRightInd w:val="0"/>
        <w:spacing w:after="0" w:line="276" w:lineRule="auto"/>
        <w:ind w:left="3261" w:hanging="2268"/>
        <w:jc w:val="both"/>
        <w:rPr>
          <w:rFonts w:ascii="Times New Roman" w:eastAsia="Calibri" w:hAnsi="Times New Roman" w:cs="Times New Roman"/>
        </w:rPr>
      </w:pPr>
      <w:r w:rsidRPr="0055640C">
        <w:rPr>
          <w:rFonts w:ascii="Times New Roman" w:eastAsia="Calibri" w:hAnsi="Times New Roman" w:cs="Times New Roman"/>
        </w:rPr>
        <w:t xml:space="preserve">neatņemamas sastāvdaļas. </w:t>
      </w:r>
    </w:p>
    <w:p w:rsidR="008B5FE0" w:rsidRPr="0055640C" w:rsidRDefault="008B5FE0" w:rsidP="008B5FE0">
      <w:pPr>
        <w:widowControl w:val="0"/>
        <w:tabs>
          <w:tab w:val="left" w:pos="993"/>
        </w:tabs>
        <w:overflowPunct w:val="0"/>
        <w:autoSpaceDE w:val="0"/>
        <w:autoSpaceDN w:val="0"/>
        <w:adjustRightInd w:val="0"/>
        <w:spacing w:after="0" w:line="276" w:lineRule="auto"/>
        <w:ind w:left="2835" w:hanging="2043"/>
        <w:jc w:val="both"/>
        <w:rPr>
          <w:rFonts w:ascii="Times New Roman" w:eastAsia="Calibri" w:hAnsi="Times New Roman" w:cs="Times New Roman"/>
          <w:b/>
          <w:bCs/>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numPr>
          <w:ilvl w:val="0"/>
          <w:numId w:val="1"/>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lang w:val="pt-PT"/>
        </w:rPr>
      </w:pPr>
    </w:p>
    <w:p w:rsidR="008B5FE0" w:rsidRPr="0055640C" w:rsidRDefault="008B5FE0" w:rsidP="008B5FE0">
      <w:pPr>
        <w:widowControl w:val="0"/>
        <w:overflowPunct w:val="0"/>
        <w:autoSpaceDE w:val="0"/>
        <w:autoSpaceDN w:val="0"/>
        <w:adjustRightInd w:val="0"/>
        <w:spacing w:after="0" w:line="214" w:lineRule="auto"/>
        <w:ind w:left="1080" w:right="20"/>
        <w:jc w:val="center"/>
        <w:rPr>
          <w:rFonts w:ascii="Times New Roman" w:eastAsia="Calibri" w:hAnsi="Times New Roman" w:cs="Times New Roman"/>
          <w:lang w:val="pt-PT"/>
        </w:rPr>
      </w:pPr>
      <w:r w:rsidRPr="0055640C">
        <w:rPr>
          <w:rFonts w:ascii="Times New Roman" w:eastAsia="Calibri" w:hAnsi="Times New Roman" w:cs="Times New Roman"/>
          <w:b/>
          <w:bCs/>
          <w:lang w:val="pt-PT"/>
        </w:rPr>
        <w:t>9. PUŠU REKVIZĪTI UN PARAKSTI</w:t>
      </w:r>
      <w:r w:rsidRPr="0055640C">
        <w:rPr>
          <w:rFonts w:ascii="Times New Roman" w:eastAsia="Calibri" w:hAnsi="Times New Roman" w:cs="Times New Roman"/>
        </w:rPr>
        <w:t xml:space="preserve">         </w:t>
      </w:r>
    </w:p>
    <w:p w:rsidR="008B5FE0" w:rsidRPr="0055640C" w:rsidRDefault="008B5FE0" w:rsidP="008B5FE0">
      <w:pPr>
        <w:widowControl w:val="0"/>
        <w:overflowPunct w:val="0"/>
        <w:autoSpaceDE w:val="0"/>
        <w:autoSpaceDN w:val="0"/>
        <w:adjustRightInd w:val="0"/>
        <w:spacing w:after="0" w:line="214" w:lineRule="auto"/>
        <w:ind w:left="1080" w:right="20"/>
        <w:jc w:val="center"/>
        <w:rPr>
          <w:rFonts w:ascii="Times New Roman" w:eastAsia="Calibri" w:hAnsi="Times New Roman" w:cs="Times New Roman"/>
          <w:lang w:val="pt-PT"/>
        </w:rPr>
      </w:pPr>
    </w:p>
    <w:tbl>
      <w:tblPr>
        <w:tblW w:w="0" w:type="auto"/>
        <w:tblLayout w:type="fixed"/>
        <w:tblLook w:val="0000" w:firstRow="0" w:lastRow="0" w:firstColumn="0" w:lastColumn="0" w:noHBand="0" w:noVBand="0"/>
      </w:tblPr>
      <w:tblGrid>
        <w:gridCol w:w="3936"/>
        <w:gridCol w:w="540"/>
        <w:gridCol w:w="4274"/>
      </w:tblGrid>
      <w:tr w:rsidR="008B5FE0" w:rsidRPr="0055640C" w:rsidTr="008F08BE">
        <w:tc>
          <w:tcPr>
            <w:tcW w:w="3936" w:type="dxa"/>
          </w:tcPr>
          <w:p w:rsidR="008B5FE0" w:rsidRPr="0055640C" w:rsidRDefault="008B5FE0" w:rsidP="008F08BE">
            <w:pPr>
              <w:keepNext/>
              <w:spacing w:after="0" w:line="240" w:lineRule="auto"/>
              <w:jc w:val="center"/>
              <w:outlineLvl w:val="2"/>
              <w:rPr>
                <w:rFonts w:ascii="Times New Roman" w:eastAsia="Times New Roman" w:hAnsi="Times New Roman" w:cs="Times New Roman"/>
                <w:b/>
              </w:rPr>
            </w:pPr>
            <w:r w:rsidRPr="0055640C">
              <w:rPr>
                <w:rFonts w:ascii="Times New Roman" w:eastAsia="Times New Roman" w:hAnsi="Times New Roman" w:cs="Times New Roman"/>
                <w:b/>
              </w:rPr>
              <w:t>LIETOTĀJS:</w:t>
            </w:r>
          </w:p>
          <w:p w:rsidR="008B5FE0" w:rsidRPr="0055640C" w:rsidRDefault="008B5FE0" w:rsidP="008F08BE">
            <w:pPr>
              <w:rPr>
                <w:rFonts w:ascii="Times New Roman" w:hAnsi="Times New Roman" w:cs="Times New Roman"/>
                <w:b/>
              </w:rPr>
            </w:pPr>
            <w:r w:rsidRPr="0055640C">
              <w:rPr>
                <w:rFonts w:ascii="Times New Roman" w:hAnsi="Times New Roman" w:cs="Times New Roman"/>
                <w:b/>
              </w:rPr>
              <w:t>SIA “LABIEKĀRTOŠANA-D”</w:t>
            </w:r>
          </w:p>
          <w:p w:rsidR="008B5FE0" w:rsidRPr="0055640C" w:rsidRDefault="008B5FE0" w:rsidP="008F08BE">
            <w:pPr>
              <w:rPr>
                <w:rFonts w:ascii="Times New Roman" w:hAnsi="Times New Roman" w:cs="Times New Roman"/>
              </w:rPr>
            </w:pPr>
            <w:r w:rsidRPr="0055640C">
              <w:rPr>
                <w:rFonts w:ascii="Times New Roman" w:hAnsi="Times New Roman" w:cs="Times New Roman"/>
              </w:rPr>
              <w:t>Vienotais Reģ.Nr.</w:t>
            </w:r>
            <w:r w:rsidRPr="0055640C">
              <w:rPr>
                <w:rFonts w:ascii="Times New Roman" w:hAnsi="Times New Roman" w:cs="Times New Roman"/>
                <w:bCs/>
              </w:rPr>
              <w:t>41503003033</w:t>
            </w:r>
          </w:p>
          <w:p w:rsidR="008B5FE0" w:rsidRPr="0055640C" w:rsidRDefault="008B5FE0" w:rsidP="008F08BE">
            <w:pPr>
              <w:rPr>
                <w:rFonts w:ascii="Times New Roman" w:hAnsi="Times New Roman" w:cs="Times New Roman"/>
              </w:rPr>
            </w:pPr>
            <w:r w:rsidRPr="0055640C">
              <w:rPr>
                <w:rFonts w:ascii="Times New Roman" w:hAnsi="Times New Roman" w:cs="Times New Roman"/>
              </w:rPr>
              <w:t>Banka: AS DNB Banka</w:t>
            </w:r>
          </w:p>
          <w:p w:rsidR="008B5FE0" w:rsidRPr="0055640C" w:rsidRDefault="008B5FE0" w:rsidP="008F08BE">
            <w:pPr>
              <w:rPr>
                <w:rFonts w:ascii="Times New Roman" w:hAnsi="Times New Roman" w:cs="Times New Roman"/>
              </w:rPr>
            </w:pPr>
            <w:r w:rsidRPr="0055640C">
              <w:rPr>
                <w:rFonts w:ascii="Times New Roman" w:hAnsi="Times New Roman" w:cs="Times New Roman"/>
              </w:rPr>
              <w:t>Kods: RIKOLV2X</w:t>
            </w:r>
          </w:p>
          <w:p w:rsidR="008B5FE0" w:rsidRPr="0055640C" w:rsidRDefault="008B5FE0" w:rsidP="008F08BE">
            <w:pPr>
              <w:rPr>
                <w:rFonts w:ascii="Times New Roman" w:hAnsi="Times New Roman" w:cs="Times New Roman"/>
              </w:rPr>
            </w:pPr>
            <w:r w:rsidRPr="0055640C">
              <w:rPr>
                <w:rFonts w:ascii="Times New Roman" w:hAnsi="Times New Roman" w:cs="Times New Roman"/>
              </w:rPr>
              <w:t>Konts: LV46RIKO0002011005314</w:t>
            </w:r>
          </w:p>
        </w:tc>
        <w:tc>
          <w:tcPr>
            <w:tcW w:w="540" w:type="dxa"/>
          </w:tcPr>
          <w:p w:rsidR="008B5FE0" w:rsidRPr="0055640C" w:rsidRDefault="008B5FE0" w:rsidP="008F08BE">
            <w:pPr>
              <w:suppressAutoHyphens/>
              <w:jc w:val="both"/>
              <w:rPr>
                <w:rFonts w:ascii="Times New Roman" w:hAnsi="Times New Roman" w:cs="Times New Roman"/>
                <w:lang w:eastAsia="ar-SA"/>
              </w:rPr>
            </w:pPr>
          </w:p>
        </w:tc>
        <w:tc>
          <w:tcPr>
            <w:tcW w:w="4274" w:type="dxa"/>
          </w:tcPr>
          <w:p w:rsidR="008B5FE0" w:rsidRPr="0055640C" w:rsidRDefault="008B5FE0" w:rsidP="008F08BE">
            <w:pPr>
              <w:keepNext/>
              <w:suppressAutoHyphens/>
              <w:overflowPunct w:val="0"/>
              <w:autoSpaceDE w:val="0"/>
              <w:spacing w:after="0" w:line="240" w:lineRule="auto"/>
              <w:textAlignment w:val="baseline"/>
              <w:outlineLvl w:val="0"/>
              <w:rPr>
                <w:rFonts w:ascii="Times New Roman" w:eastAsia="Times New Roman" w:hAnsi="Times New Roman" w:cs="Times New Roman"/>
                <w:b/>
                <w:lang w:eastAsia="ar-SA"/>
              </w:rPr>
            </w:pPr>
            <w:r w:rsidRPr="0055640C">
              <w:rPr>
                <w:rFonts w:ascii="Times New Roman" w:eastAsia="Times New Roman" w:hAnsi="Times New Roman" w:cs="Times New Roman"/>
                <w:b/>
                <w:lang w:eastAsia="ar-SA"/>
              </w:rPr>
              <w:t>TIRGOTĀJS:</w:t>
            </w:r>
          </w:p>
          <w:p w:rsidR="008B5FE0" w:rsidRPr="0055640C" w:rsidRDefault="008B5FE0" w:rsidP="008F08BE">
            <w:pPr>
              <w:rPr>
                <w:rFonts w:ascii="Times New Roman" w:hAnsi="Times New Roman" w:cs="Times New Roman"/>
                <w:b/>
              </w:rPr>
            </w:pPr>
            <w:r w:rsidRPr="0055640C">
              <w:rPr>
                <w:rFonts w:ascii="Times New Roman" w:hAnsi="Times New Roman" w:cs="Times New Roman"/>
                <w:b/>
              </w:rPr>
              <w:t>SIA “INTER RAO Latvia”</w:t>
            </w:r>
          </w:p>
          <w:p w:rsidR="008B5FE0" w:rsidRPr="0055640C" w:rsidRDefault="008B5FE0" w:rsidP="008F08BE">
            <w:pPr>
              <w:rPr>
                <w:rFonts w:ascii="Times New Roman" w:hAnsi="Times New Roman" w:cs="Times New Roman"/>
                <w:b/>
              </w:rPr>
            </w:pPr>
            <w:r w:rsidRPr="0055640C">
              <w:rPr>
                <w:rFonts w:ascii="Times New Roman" w:hAnsi="Times New Roman" w:cs="Times New Roman"/>
              </w:rPr>
              <w:t xml:space="preserve">Vienotais </w:t>
            </w:r>
            <w:proofErr w:type="spellStart"/>
            <w:r w:rsidRPr="0055640C">
              <w:rPr>
                <w:rFonts w:ascii="Times New Roman" w:hAnsi="Times New Roman" w:cs="Times New Roman"/>
              </w:rPr>
              <w:t>Reģ</w:t>
            </w:r>
            <w:proofErr w:type="spellEnd"/>
            <w:r w:rsidRPr="0055640C">
              <w:rPr>
                <w:rFonts w:ascii="Times New Roman" w:hAnsi="Times New Roman" w:cs="Times New Roman"/>
              </w:rPr>
              <w:t xml:space="preserve">. Nr. </w:t>
            </w:r>
            <w:r w:rsidRPr="0055640C">
              <w:rPr>
                <w:rFonts w:ascii="Times New Roman" w:hAnsi="Times New Roman" w:cs="Times New Roman"/>
                <w:bCs/>
              </w:rPr>
              <w:t>40103268639</w:t>
            </w:r>
          </w:p>
          <w:p w:rsidR="008B5FE0" w:rsidRPr="0055640C" w:rsidRDefault="008B5FE0" w:rsidP="008F08BE">
            <w:pPr>
              <w:rPr>
                <w:rFonts w:ascii="Times New Roman" w:hAnsi="Times New Roman" w:cs="Times New Roman"/>
              </w:rPr>
            </w:pPr>
            <w:r w:rsidRPr="0055640C">
              <w:rPr>
                <w:rFonts w:ascii="Times New Roman" w:hAnsi="Times New Roman" w:cs="Times New Roman"/>
              </w:rPr>
              <w:t>Banka: AS Swedbank</w:t>
            </w:r>
          </w:p>
          <w:p w:rsidR="008B5FE0" w:rsidRPr="0055640C" w:rsidRDefault="008B5FE0" w:rsidP="008F08BE">
            <w:pPr>
              <w:rPr>
                <w:rFonts w:ascii="Times New Roman" w:hAnsi="Times New Roman" w:cs="Times New Roman"/>
              </w:rPr>
            </w:pPr>
            <w:r w:rsidRPr="0055640C">
              <w:rPr>
                <w:rFonts w:ascii="Times New Roman" w:hAnsi="Times New Roman" w:cs="Times New Roman"/>
              </w:rPr>
              <w:t>Kods: HABALV22</w:t>
            </w:r>
          </w:p>
          <w:p w:rsidR="008B5FE0" w:rsidRPr="0055640C" w:rsidRDefault="008B5FE0" w:rsidP="008F08BE">
            <w:pPr>
              <w:rPr>
                <w:rFonts w:ascii="Times New Roman" w:hAnsi="Times New Roman" w:cs="Times New Roman"/>
              </w:rPr>
            </w:pPr>
            <w:r w:rsidRPr="0055640C">
              <w:rPr>
                <w:rFonts w:ascii="Times New Roman" w:hAnsi="Times New Roman" w:cs="Times New Roman"/>
              </w:rPr>
              <w:t>Konts: LV76HABA0551027448097</w:t>
            </w:r>
          </w:p>
        </w:tc>
      </w:tr>
      <w:tr w:rsidR="008B5FE0" w:rsidRPr="0055640C" w:rsidTr="008F08BE">
        <w:tc>
          <w:tcPr>
            <w:tcW w:w="3936" w:type="dxa"/>
          </w:tcPr>
          <w:p w:rsidR="008B5FE0" w:rsidRPr="0055640C" w:rsidRDefault="008B5FE0" w:rsidP="008F08BE">
            <w:pPr>
              <w:suppressAutoHyphens/>
              <w:rPr>
                <w:rFonts w:ascii="Times New Roman" w:eastAsia="Times New Roman" w:hAnsi="Times New Roman" w:cs="Times New Roman"/>
              </w:rPr>
            </w:pPr>
          </w:p>
          <w:p w:rsidR="008B5FE0" w:rsidRPr="0055640C" w:rsidRDefault="008B5FE0" w:rsidP="008F08BE">
            <w:pPr>
              <w:suppressAutoHyphens/>
              <w:rPr>
                <w:rFonts w:ascii="Times New Roman" w:hAnsi="Times New Roman" w:cs="Times New Roman"/>
                <w:i/>
              </w:rPr>
            </w:pPr>
            <w:r w:rsidRPr="0055640C">
              <w:rPr>
                <w:rFonts w:ascii="Times New Roman" w:hAnsi="Times New Roman" w:cs="Times New Roman"/>
                <w:i/>
              </w:rPr>
              <w:t>Valdes loceklis</w:t>
            </w:r>
          </w:p>
          <w:p w:rsidR="008B5FE0" w:rsidRPr="0055640C" w:rsidRDefault="008B5FE0" w:rsidP="008F08BE">
            <w:pPr>
              <w:suppressAutoHyphens/>
              <w:rPr>
                <w:rFonts w:ascii="Times New Roman" w:hAnsi="Times New Roman" w:cs="Times New Roman"/>
                <w:i/>
              </w:rPr>
            </w:pPr>
          </w:p>
          <w:p w:rsidR="008B5FE0" w:rsidRPr="0055640C" w:rsidRDefault="008B5FE0" w:rsidP="008F08BE">
            <w:pPr>
              <w:suppressAutoHyphens/>
              <w:rPr>
                <w:rFonts w:ascii="Times New Roman" w:hAnsi="Times New Roman" w:cs="Times New Roman"/>
                <w:lang w:eastAsia="ar-SA"/>
              </w:rPr>
            </w:pPr>
            <w:r w:rsidRPr="0055640C">
              <w:rPr>
                <w:rFonts w:ascii="Times New Roman" w:hAnsi="Times New Roman" w:cs="Times New Roman"/>
                <w:i/>
              </w:rPr>
              <w:t>___________________________</w:t>
            </w:r>
          </w:p>
        </w:tc>
        <w:tc>
          <w:tcPr>
            <w:tcW w:w="540" w:type="dxa"/>
          </w:tcPr>
          <w:p w:rsidR="008B5FE0" w:rsidRPr="0055640C" w:rsidRDefault="008B5FE0" w:rsidP="008F08BE">
            <w:pPr>
              <w:suppressAutoHyphens/>
              <w:jc w:val="both"/>
              <w:rPr>
                <w:rFonts w:ascii="Times New Roman" w:hAnsi="Times New Roman" w:cs="Times New Roman"/>
                <w:lang w:eastAsia="ar-SA"/>
              </w:rPr>
            </w:pPr>
          </w:p>
        </w:tc>
        <w:tc>
          <w:tcPr>
            <w:tcW w:w="4274" w:type="dxa"/>
          </w:tcPr>
          <w:p w:rsidR="008B5FE0" w:rsidRPr="0055640C" w:rsidRDefault="008B5FE0" w:rsidP="008F08BE">
            <w:pPr>
              <w:suppressAutoHyphens/>
              <w:rPr>
                <w:rFonts w:ascii="Times New Roman" w:hAnsi="Times New Roman" w:cs="Times New Roman"/>
                <w:i/>
                <w:lang w:eastAsia="ar-SA"/>
              </w:rPr>
            </w:pPr>
          </w:p>
          <w:p w:rsidR="008B5FE0" w:rsidRPr="0055640C" w:rsidRDefault="008B5FE0" w:rsidP="008F08BE">
            <w:pPr>
              <w:suppressAutoHyphens/>
              <w:rPr>
                <w:rFonts w:ascii="Times New Roman" w:hAnsi="Times New Roman" w:cs="Times New Roman"/>
                <w:i/>
              </w:rPr>
            </w:pPr>
            <w:r w:rsidRPr="0055640C">
              <w:rPr>
                <w:rFonts w:ascii="Times New Roman" w:hAnsi="Times New Roman" w:cs="Times New Roman"/>
                <w:i/>
                <w:lang w:eastAsia="ar-SA"/>
              </w:rPr>
              <w:t>Rīkotājdirektors</w:t>
            </w:r>
          </w:p>
          <w:p w:rsidR="008B5FE0" w:rsidRPr="0055640C" w:rsidRDefault="008B5FE0" w:rsidP="008F08BE">
            <w:pPr>
              <w:suppressAutoHyphens/>
              <w:rPr>
                <w:rFonts w:ascii="Times New Roman" w:hAnsi="Times New Roman" w:cs="Times New Roman"/>
              </w:rPr>
            </w:pPr>
          </w:p>
          <w:p w:rsidR="008B5FE0" w:rsidRPr="0055640C" w:rsidRDefault="008B5FE0" w:rsidP="008F08BE">
            <w:pPr>
              <w:suppressAutoHyphens/>
              <w:rPr>
                <w:rFonts w:ascii="Times New Roman" w:hAnsi="Times New Roman" w:cs="Times New Roman"/>
                <w:color w:val="C00000"/>
                <w:lang w:eastAsia="ar-SA"/>
              </w:rPr>
            </w:pPr>
            <w:r w:rsidRPr="0055640C">
              <w:rPr>
                <w:rFonts w:ascii="Times New Roman" w:hAnsi="Times New Roman" w:cs="Times New Roman"/>
              </w:rPr>
              <w:t>________________________</w:t>
            </w:r>
          </w:p>
        </w:tc>
      </w:tr>
      <w:tr w:rsidR="008B5FE0" w:rsidRPr="0055640C" w:rsidTr="008F08BE">
        <w:tc>
          <w:tcPr>
            <w:tcW w:w="3936" w:type="dxa"/>
          </w:tcPr>
          <w:p w:rsidR="008B5FE0" w:rsidRPr="0055640C" w:rsidRDefault="008B5FE0" w:rsidP="008F08BE">
            <w:pPr>
              <w:keepNext/>
              <w:suppressAutoHyphens/>
              <w:spacing w:after="0" w:line="240" w:lineRule="auto"/>
              <w:jc w:val="right"/>
              <w:outlineLvl w:val="1"/>
              <w:rPr>
                <w:rFonts w:ascii="Times New Roman" w:eastAsia="Times New Roman" w:hAnsi="Times New Roman" w:cs="Times New Roman"/>
                <w:i/>
                <w:lang w:eastAsia="ar-SA"/>
              </w:rPr>
            </w:pPr>
            <w:r w:rsidRPr="0055640C">
              <w:rPr>
                <w:rFonts w:ascii="Times New Roman" w:eastAsia="Times New Roman" w:hAnsi="Times New Roman" w:cs="Times New Roman"/>
                <w:b/>
                <w:lang w:eastAsia="ar-SA"/>
              </w:rPr>
              <w:t>/</w:t>
            </w:r>
            <w:proofErr w:type="spellStart"/>
            <w:r w:rsidRPr="0055640C">
              <w:rPr>
                <w:rFonts w:ascii="Times New Roman" w:eastAsia="Times New Roman" w:hAnsi="Times New Roman" w:cs="Times New Roman"/>
                <w:lang w:eastAsia="ar-SA"/>
              </w:rPr>
              <w:t>N.Ignatjevs</w:t>
            </w:r>
            <w:proofErr w:type="spellEnd"/>
            <w:r w:rsidRPr="0055640C">
              <w:rPr>
                <w:rFonts w:ascii="Times New Roman" w:eastAsia="Times New Roman" w:hAnsi="Times New Roman" w:cs="Times New Roman"/>
                <w:lang w:eastAsia="ar-SA"/>
              </w:rPr>
              <w:t xml:space="preserve"> /</w:t>
            </w:r>
          </w:p>
          <w:p w:rsidR="008B5FE0" w:rsidRPr="0055640C" w:rsidRDefault="008B5FE0" w:rsidP="008F08BE">
            <w:pPr>
              <w:suppressAutoHyphens/>
              <w:rPr>
                <w:rFonts w:ascii="Times New Roman" w:hAnsi="Times New Roman" w:cs="Times New Roman"/>
                <w:lang w:eastAsia="ar-SA"/>
              </w:rPr>
            </w:pPr>
            <w:r w:rsidRPr="0055640C">
              <w:rPr>
                <w:rFonts w:ascii="Times New Roman" w:hAnsi="Times New Roman" w:cs="Times New Roman"/>
              </w:rPr>
              <w:t>z.v.</w:t>
            </w:r>
          </w:p>
        </w:tc>
        <w:tc>
          <w:tcPr>
            <w:tcW w:w="540" w:type="dxa"/>
          </w:tcPr>
          <w:p w:rsidR="008B5FE0" w:rsidRPr="0055640C" w:rsidRDefault="008B5FE0" w:rsidP="008F08BE">
            <w:pPr>
              <w:suppressAutoHyphens/>
              <w:jc w:val="both"/>
              <w:rPr>
                <w:rFonts w:ascii="Times New Roman" w:hAnsi="Times New Roman" w:cs="Times New Roman"/>
                <w:bCs/>
                <w:lang w:eastAsia="ar-SA"/>
              </w:rPr>
            </w:pPr>
          </w:p>
        </w:tc>
        <w:tc>
          <w:tcPr>
            <w:tcW w:w="4274" w:type="dxa"/>
          </w:tcPr>
          <w:p w:rsidR="008B5FE0" w:rsidRPr="0055640C" w:rsidRDefault="008B5FE0" w:rsidP="008F08BE">
            <w:pPr>
              <w:keepNext/>
              <w:suppressAutoHyphens/>
              <w:spacing w:after="0" w:line="240" w:lineRule="auto"/>
              <w:jc w:val="right"/>
              <w:outlineLvl w:val="1"/>
              <w:rPr>
                <w:rFonts w:ascii="Times New Roman" w:eastAsia="Times New Roman" w:hAnsi="Times New Roman" w:cs="Times New Roman"/>
                <w:b/>
                <w:lang w:eastAsia="ar-SA"/>
              </w:rPr>
            </w:pPr>
            <w:r w:rsidRPr="0055640C">
              <w:rPr>
                <w:rFonts w:ascii="Times New Roman" w:eastAsia="Times New Roman" w:hAnsi="Times New Roman" w:cs="Times New Roman"/>
                <w:b/>
                <w:lang w:eastAsia="ar-SA"/>
              </w:rPr>
              <w:t>/</w:t>
            </w:r>
            <w:proofErr w:type="spellStart"/>
            <w:r w:rsidRPr="0055640C">
              <w:rPr>
                <w:rFonts w:ascii="Times New Roman" w:eastAsia="Times New Roman" w:hAnsi="Times New Roman" w:cs="Times New Roman"/>
                <w:lang w:eastAsia="ar-SA"/>
              </w:rPr>
              <w:t>P.Sosņickis</w:t>
            </w:r>
            <w:proofErr w:type="spellEnd"/>
            <w:r w:rsidRPr="0055640C">
              <w:rPr>
                <w:rFonts w:ascii="Times New Roman" w:eastAsia="Times New Roman" w:hAnsi="Times New Roman" w:cs="Times New Roman"/>
                <w:b/>
                <w:lang w:eastAsia="ar-SA"/>
              </w:rPr>
              <w:t>/</w:t>
            </w:r>
          </w:p>
          <w:p w:rsidR="008B5FE0" w:rsidRPr="0055640C" w:rsidRDefault="008B5FE0" w:rsidP="008F08BE">
            <w:pPr>
              <w:suppressAutoHyphens/>
              <w:rPr>
                <w:rFonts w:ascii="Times New Roman" w:hAnsi="Times New Roman" w:cs="Times New Roman"/>
                <w:color w:val="C00000"/>
                <w:lang w:eastAsia="ar-SA"/>
              </w:rPr>
            </w:pPr>
            <w:r w:rsidRPr="0055640C">
              <w:rPr>
                <w:rFonts w:ascii="Times New Roman" w:hAnsi="Times New Roman" w:cs="Times New Roman"/>
              </w:rPr>
              <w:t>z.v.</w:t>
            </w:r>
          </w:p>
        </w:tc>
      </w:tr>
    </w:tbl>
    <w:p w:rsidR="008B5FE0" w:rsidRPr="0055640C" w:rsidRDefault="008B5FE0" w:rsidP="008B5FE0">
      <w:pPr>
        <w:widowControl w:val="0"/>
        <w:tabs>
          <w:tab w:val="left" w:pos="4095"/>
        </w:tabs>
        <w:autoSpaceDE w:val="0"/>
        <w:autoSpaceDN w:val="0"/>
        <w:adjustRightInd w:val="0"/>
        <w:mirrorIndents/>
        <w:rPr>
          <w:rFonts w:ascii="Times New Roman" w:hAnsi="Times New Roman" w:cs="Times New Roman"/>
        </w:rPr>
      </w:pPr>
      <w:r w:rsidRPr="0055640C">
        <w:rPr>
          <w:rFonts w:ascii="Times New Roman" w:hAnsi="Times New Roman" w:cs="Times New Roman"/>
        </w:rPr>
        <w:tab/>
      </w:r>
    </w:p>
    <w:p w:rsidR="008B5FE0" w:rsidRPr="0055640C" w:rsidRDefault="008B5FE0" w:rsidP="008B5FE0">
      <w:pPr>
        <w:rPr>
          <w:rFonts w:ascii="Times New Roman" w:hAnsi="Times New Roman" w:cs="Times New Roman"/>
        </w:rPr>
      </w:pPr>
    </w:p>
    <w:p w:rsidR="008B5FE0" w:rsidRPr="0055640C" w:rsidRDefault="008B5FE0" w:rsidP="008B5FE0">
      <w:pPr>
        <w:rPr>
          <w:rFonts w:ascii="Times New Roman" w:hAnsi="Times New Roman" w:cs="Times New Roman"/>
        </w:rPr>
      </w:pPr>
    </w:p>
    <w:p w:rsidR="008B5FE0" w:rsidRPr="0055640C" w:rsidRDefault="008B5FE0" w:rsidP="008B5FE0">
      <w:pPr>
        <w:rPr>
          <w:rFonts w:ascii="Times New Roman" w:hAnsi="Times New Roman" w:cs="Times New Roman"/>
        </w:rPr>
      </w:pPr>
    </w:p>
    <w:p w:rsidR="008B5FE0" w:rsidRPr="0055640C" w:rsidRDefault="008B5FE0" w:rsidP="008B5FE0">
      <w:pPr>
        <w:rPr>
          <w:rFonts w:ascii="Times New Roman" w:hAnsi="Times New Roman" w:cs="Times New Roman"/>
        </w:rPr>
      </w:pPr>
    </w:p>
    <w:p w:rsidR="008B5FE0" w:rsidRPr="0055640C" w:rsidRDefault="008B5FE0" w:rsidP="008B5FE0">
      <w:pPr>
        <w:rPr>
          <w:rFonts w:ascii="Times New Roman" w:hAnsi="Times New Roman" w:cs="Times New Roman"/>
        </w:rPr>
      </w:pPr>
    </w:p>
    <w:p w:rsidR="008B5FE0" w:rsidRPr="0055640C" w:rsidRDefault="008B5FE0" w:rsidP="008B5FE0">
      <w:pPr>
        <w:rPr>
          <w:rFonts w:ascii="Times New Roman" w:hAnsi="Times New Roman" w:cs="Times New Roman"/>
        </w:rPr>
      </w:pPr>
    </w:p>
    <w:p w:rsidR="008B5FE0" w:rsidRPr="0055640C" w:rsidRDefault="008B5FE0" w:rsidP="008B5FE0">
      <w:pPr>
        <w:rPr>
          <w:rFonts w:ascii="Times New Roman" w:hAnsi="Times New Roman" w:cs="Times New Roman"/>
        </w:rPr>
      </w:pPr>
      <w:bookmarkStart w:id="4" w:name="_GoBack"/>
      <w:bookmarkEnd w:id="4"/>
    </w:p>
    <w:sectPr w:rsidR="008B5FE0" w:rsidRPr="0055640C" w:rsidSect="00393C29">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17" w:rsidRDefault="00C24E17" w:rsidP="00393C29">
      <w:pPr>
        <w:spacing w:after="0" w:line="240" w:lineRule="auto"/>
      </w:pPr>
      <w:r>
        <w:separator/>
      </w:r>
    </w:p>
  </w:endnote>
  <w:endnote w:type="continuationSeparator" w:id="0">
    <w:p w:rsidR="00C24E17" w:rsidRDefault="00C24E17" w:rsidP="0039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63286"/>
      <w:docPartObj>
        <w:docPartGallery w:val="Page Numbers (Bottom of Page)"/>
        <w:docPartUnique/>
      </w:docPartObj>
    </w:sdtPr>
    <w:sdtEndPr>
      <w:rPr>
        <w:noProof/>
      </w:rPr>
    </w:sdtEndPr>
    <w:sdtContent>
      <w:p w:rsidR="00393C29" w:rsidRDefault="00393C29">
        <w:pPr>
          <w:pStyle w:val="Footer"/>
          <w:jc w:val="center"/>
        </w:pPr>
        <w:r>
          <w:fldChar w:fldCharType="begin"/>
        </w:r>
        <w:r>
          <w:instrText xml:space="preserve"> PAGE   \* MERGEFORMAT </w:instrText>
        </w:r>
        <w:r>
          <w:fldChar w:fldCharType="separate"/>
        </w:r>
        <w:r w:rsidR="00B42BF6">
          <w:rPr>
            <w:noProof/>
          </w:rPr>
          <w:t>3</w:t>
        </w:r>
        <w:r>
          <w:rPr>
            <w:noProof/>
          </w:rPr>
          <w:fldChar w:fldCharType="end"/>
        </w:r>
      </w:p>
    </w:sdtContent>
  </w:sdt>
  <w:p w:rsidR="00393C29" w:rsidRDefault="0039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17" w:rsidRDefault="00C24E17" w:rsidP="00393C29">
      <w:pPr>
        <w:spacing w:after="0" w:line="240" w:lineRule="auto"/>
      </w:pPr>
      <w:r>
        <w:separator/>
      </w:r>
    </w:p>
  </w:footnote>
  <w:footnote w:type="continuationSeparator" w:id="0">
    <w:p w:rsidR="00C24E17" w:rsidRDefault="00C24E17" w:rsidP="00393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991"/>
    <w:multiLevelType w:val="hybridMultilevel"/>
    <w:tmpl w:val="0000409D"/>
    <w:lvl w:ilvl="0" w:tplc="000012E1">
      <w:start w:val="1"/>
      <w:numFmt w:val="decimal"/>
      <w:lvlText w:val="13.%1."/>
      <w:lvlJc w:val="left"/>
      <w:pPr>
        <w:tabs>
          <w:tab w:val="num" w:pos="720"/>
        </w:tabs>
        <w:ind w:left="720" w:hanging="360"/>
      </w:pPr>
    </w:lvl>
    <w:lvl w:ilvl="1" w:tplc="000079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E453665"/>
    <w:multiLevelType w:val="multilevel"/>
    <w:tmpl w:val="E34459C4"/>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29"/>
    <w:rsid w:val="00062CFB"/>
    <w:rsid w:val="000A3DD0"/>
    <w:rsid w:val="00125120"/>
    <w:rsid w:val="00393C29"/>
    <w:rsid w:val="0055640C"/>
    <w:rsid w:val="0056502A"/>
    <w:rsid w:val="007C57FF"/>
    <w:rsid w:val="00892556"/>
    <w:rsid w:val="008B5FE0"/>
    <w:rsid w:val="009A3479"/>
    <w:rsid w:val="009E4F0E"/>
    <w:rsid w:val="00A701AE"/>
    <w:rsid w:val="00AF44DA"/>
    <w:rsid w:val="00B42BF6"/>
    <w:rsid w:val="00C24E17"/>
    <w:rsid w:val="00C8688B"/>
    <w:rsid w:val="00C87ED6"/>
    <w:rsid w:val="00CB44DA"/>
    <w:rsid w:val="00D11A16"/>
    <w:rsid w:val="00D33024"/>
    <w:rsid w:val="00F87C99"/>
    <w:rsid w:val="00FE1C24"/>
    <w:rsid w:val="00FE38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DF9C-2B9A-4808-A78B-C339B3BC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C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C29"/>
  </w:style>
  <w:style w:type="paragraph" w:styleId="Footer">
    <w:name w:val="footer"/>
    <w:basedOn w:val="Normal"/>
    <w:link w:val="FooterChar"/>
    <w:uiPriority w:val="99"/>
    <w:unhideWhenUsed/>
    <w:rsid w:val="00393C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C29"/>
  </w:style>
  <w:style w:type="character" w:styleId="Hyperlink">
    <w:name w:val="Hyperlink"/>
    <w:basedOn w:val="DefaultParagraphFont"/>
    <w:uiPriority w:val="99"/>
    <w:unhideWhenUsed/>
    <w:rsid w:val="008B5FE0"/>
    <w:rPr>
      <w:color w:val="0563C1" w:themeColor="hyperlink"/>
      <w:u w:val="single"/>
    </w:rPr>
  </w:style>
  <w:style w:type="paragraph" w:styleId="BalloonText">
    <w:name w:val="Balloon Text"/>
    <w:basedOn w:val="Normal"/>
    <w:link w:val="BalloonTextChar"/>
    <w:uiPriority w:val="99"/>
    <w:semiHidden/>
    <w:unhideWhenUsed/>
    <w:rsid w:val="00FE3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opova@interrao.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7729</Words>
  <Characters>4407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14</cp:revision>
  <cp:lastPrinted>2018-01-17T11:55:00Z</cp:lastPrinted>
  <dcterms:created xsi:type="dcterms:W3CDTF">2018-01-16T15:01:00Z</dcterms:created>
  <dcterms:modified xsi:type="dcterms:W3CDTF">2018-01-29T06:56:00Z</dcterms:modified>
</cp:coreProperties>
</file>