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F7" w:rsidRPr="006D068A" w:rsidRDefault="00BF52F7" w:rsidP="00CD0F12">
      <w:pPr>
        <w:pStyle w:val="Title"/>
        <w:rPr>
          <w:b w:val="0"/>
          <w:bCs w:val="0"/>
          <w:sz w:val="23"/>
          <w:szCs w:val="23"/>
        </w:rPr>
      </w:pPr>
      <w:r w:rsidRPr="006D068A">
        <w:rPr>
          <w:b w:val="0"/>
          <w:bCs w:val="0"/>
          <w:sz w:val="23"/>
          <w:szCs w:val="23"/>
        </w:rPr>
        <w:t>LATVIJAS REPUBLIKA</w:t>
      </w:r>
    </w:p>
    <w:p w:rsidR="00BF52F7" w:rsidRPr="006D068A" w:rsidRDefault="00BF52F7">
      <w:pPr>
        <w:pStyle w:val="Title"/>
        <w:rPr>
          <w:sz w:val="23"/>
          <w:szCs w:val="23"/>
        </w:rPr>
      </w:pPr>
      <w:r w:rsidRPr="006D068A">
        <w:rPr>
          <w:sz w:val="23"/>
          <w:szCs w:val="23"/>
        </w:rPr>
        <w:t>Daugavpils pilsētas dome</w:t>
      </w:r>
    </w:p>
    <w:p w:rsidR="00BF52F7" w:rsidRPr="006D068A" w:rsidRDefault="00BF52F7">
      <w:pPr>
        <w:pStyle w:val="Title"/>
        <w:rPr>
          <w:b w:val="0"/>
          <w:bCs w:val="0"/>
          <w:caps w:val="0"/>
          <w:sz w:val="23"/>
          <w:szCs w:val="23"/>
        </w:rPr>
      </w:pPr>
      <w:r w:rsidRPr="006D068A">
        <w:rPr>
          <w:b w:val="0"/>
          <w:bCs w:val="0"/>
          <w:caps w:val="0"/>
          <w:sz w:val="23"/>
          <w:szCs w:val="23"/>
        </w:rPr>
        <w:t>reģ.Nr. 90000077325</w:t>
      </w:r>
    </w:p>
    <w:p w:rsidR="00BF52F7" w:rsidRDefault="00BF52F7">
      <w:pPr>
        <w:pStyle w:val="Title"/>
        <w:rPr>
          <w:b w:val="0"/>
          <w:bCs w:val="0"/>
          <w:caps w:val="0"/>
          <w:sz w:val="23"/>
          <w:szCs w:val="23"/>
        </w:rPr>
      </w:pPr>
      <w:r w:rsidRPr="006D068A">
        <w:rPr>
          <w:b w:val="0"/>
          <w:bCs w:val="0"/>
          <w:caps w:val="0"/>
          <w:sz w:val="23"/>
          <w:szCs w:val="23"/>
        </w:rPr>
        <w:t>Kr.Valdemāra iela 1, Daugavpils, LV-5401</w:t>
      </w:r>
    </w:p>
    <w:p w:rsidR="00BF52F7" w:rsidRPr="002D01FE" w:rsidRDefault="00BF52F7">
      <w:pPr>
        <w:pStyle w:val="Title"/>
      </w:pPr>
    </w:p>
    <w:p w:rsidR="004C598D" w:rsidRPr="002D01FE" w:rsidRDefault="004C598D" w:rsidP="004C598D">
      <w:pPr>
        <w:jc w:val="center"/>
        <w:rPr>
          <w:bCs/>
          <w:lang w:val="lv-LV"/>
        </w:rPr>
      </w:pPr>
      <w:r w:rsidRPr="002D01FE">
        <w:rPr>
          <w:bCs/>
          <w:lang w:val="lv-LV"/>
        </w:rPr>
        <w:t>Iepirkums Publisko iepirkumu likuma 9.panta noteiktajā kārtībā</w:t>
      </w:r>
    </w:p>
    <w:p w:rsidR="00E733A7" w:rsidRPr="002D01FE" w:rsidRDefault="004C598D" w:rsidP="00E733A7">
      <w:pPr>
        <w:jc w:val="center"/>
        <w:rPr>
          <w:b/>
          <w:lang w:val="lv-LV" w:eastAsia="ar-SA"/>
        </w:rPr>
      </w:pPr>
      <w:r w:rsidRPr="002D01FE">
        <w:rPr>
          <w:b/>
          <w:lang w:val="lv-LV"/>
        </w:rPr>
        <w:t>„</w:t>
      </w:r>
      <w:r w:rsidR="00E733A7" w:rsidRPr="002D01FE">
        <w:rPr>
          <w:b/>
          <w:bCs/>
          <w:color w:val="000000"/>
          <w:lang w:val="lv-LV" w:eastAsia="ar-SA"/>
        </w:rPr>
        <w:t xml:space="preserve">Revīzijas veikšana un zvērināta revidenta ziņojuma sniegšana par </w:t>
      </w:r>
      <w:r w:rsidR="00E733A7" w:rsidRPr="002D01FE">
        <w:rPr>
          <w:b/>
          <w:bCs/>
          <w:color w:val="000000"/>
          <w:lang w:val="lv-LV" w:eastAsia="ar-SA"/>
        </w:rPr>
        <w:br/>
        <w:t>Daugavpils pilsētas pašvaldības 2017. un 2018.gada konsolidēto pārskatu</w:t>
      </w:r>
      <w:r w:rsidR="00E733A7" w:rsidRPr="002D01FE">
        <w:rPr>
          <w:b/>
          <w:lang w:val="lv-LV"/>
        </w:rPr>
        <w:t>”</w:t>
      </w:r>
    </w:p>
    <w:p w:rsidR="00E733A7" w:rsidRPr="002D01FE" w:rsidRDefault="00E733A7" w:rsidP="00E733A7">
      <w:pPr>
        <w:jc w:val="center"/>
        <w:rPr>
          <w:lang w:val="lv-LV"/>
        </w:rPr>
      </w:pPr>
      <w:r w:rsidRPr="002D01FE">
        <w:rPr>
          <w:lang w:val="lv-LV"/>
        </w:rPr>
        <w:t>identifikācijas numurs DPD 2017/121</w:t>
      </w:r>
    </w:p>
    <w:p w:rsidR="007F192B" w:rsidRPr="002D01FE" w:rsidRDefault="007F192B" w:rsidP="00E733A7">
      <w:pPr>
        <w:jc w:val="center"/>
        <w:rPr>
          <w:lang w:val="lv-LV"/>
        </w:rPr>
      </w:pPr>
    </w:p>
    <w:p w:rsidR="007F192B" w:rsidRPr="002D01FE" w:rsidRDefault="007F192B" w:rsidP="007F192B">
      <w:pPr>
        <w:pStyle w:val="Heading1"/>
      </w:pPr>
      <w:r w:rsidRPr="002D01FE">
        <w:t>Iepirkum</w:t>
      </w:r>
      <w:r w:rsidR="00E733A7" w:rsidRPr="002D01FE">
        <w:t>a komisijas sēdes protokols Nr.</w:t>
      </w:r>
      <w:r w:rsidR="008920BC">
        <w:t>5</w:t>
      </w:r>
    </w:p>
    <w:p w:rsidR="007F192B" w:rsidRPr="002D01FE" w:rsidRDefault="007F192B" w:rsidP="007F192B">
      <w:pPr>
        <w:jc w:val="center"/>
        <w:rPr>
          <w:lang w:val="lv-LV"/>
        </w:rPr>
      </w:pPr>
    </w:p>
    <w:p w:rsidR="007F192B" w:rsidRPr="002D01FE" w:rsidRDefault="007F192B" w:rsidP="007F192B">
      <w:pPr>
        <w:pStyle w:val="Header"/>
        <w:tabs>
          <w:tab w:val="clear" w:pos="4153"/>
          <w:tab w:val="clear" w:pos="8306"/>
        </w:tabs>
        <w:rPr>
          <w:lang w:val="lv-LV"/>
        </w:rPr>
      </w:pPr>
      <w:r w:rsidRPr="002D01FE">
        <w:rPr>
          <w:lang w:val="lv-LV"/>
        </w:rPr>
        <w:t>201</w:t>
      </w:r>
      <w:r w:rsidR="00A72D9A" w:rsidRPr="002D01FE">
        <w:rPr>
          <w:lang w:val="lv-LV"/>
        </w:rPr>
        <w:t>7</w:t>
      </w:r>
      <w:r w:rsidRPr="002D01FE">
        <w:rPr>
          <w:lang w:val="lv-LV"/>
        </w:rPr>
        <w:t xml:space="preserve">.gada </w:t>
      </w:r>
      <w:r w:rsidR="00E733A7" w:rsidRPr="002D01FE">
        <w:rPr>
          <w:lang w:val="lv-LV"/>
        </w:rPr>
        <w:t>20</w:t>
      </w:r>
      <w:r w:rsidR="00AD0154" w:rsidRPr="002D01FE">
        <w:rPr>
          <w:lang w:val="lv-LV"/>
        </w:rPr>
        <w:t>.</w:t>
      </w:r>
      <w:r w:rsidR="002C5C3C" w:rsidRPr="002D01FE">
        <w:rPr>
          <w:lang w:val="lv-LV"/>
        </w:rPr>
        <w:t>septembrī</w:t>
      </w:r>
    </w:p>
    <w:p w:rsidR="007F192B" w:rsidRPr="002D01FE" w:rsidRDefault="007F192B" w:rsidP="007F192B">
      <w:pPr>
        <w:pStyle w:val="Header"/>
        <w:tabs>
          <w:tab w:val="left" w:pos="720"/>
        </w:tabs>
        <w:rPr>
          <w:lang w:val="lv-LV"/>
        </w:rPr>
      </w:pPr>
    </w:p>
    <w:p w:rsidR="007F192B" w:rsidRPr="002D01FE" w:rsidRDefault="007F192B" w:rsidP="007F192B">
      <w:pPr>
        <w:rPr>
          <w:lang w:val="lv-LV"/>
        </w:rPr>
      </w:pPr>
      <w:r w:rsidRPr="002D01FE">
        <w:rPr>
          <w:lang w:val="lv-LV"/>
        </w:rPr>
        <w:t>SĒDE NOTIEK Daugavpilī, K.Valdemāra ielā 1, 306. kabinetā</w:t>
      </w:r>
    </w:p>
    <w:p w:rsidR="007F192B" w:rsidRPr="002D01FE" w:rsidRDefault="00E0161B" w:rsidP="007F192B">
      <w:pPr>
        <w:pStyle w:val="Header"/>
        <w:tabs>
          <w:tab w:val="left" w:pos="720"/>
        </w:tabs>
        <w:rPr>
          <w:lang w:val="lv-LV"/>
        </w:rPr>
      </w:pPr>
      <w:r w:rsidRPr="002D01FE">
        <w:rPr>
          <w:lang w:val="lv-LV"/>
        </w:rPr>
        <w:t>SĒDE SĀKAS plkst. 16</w:t>
      </w:r>
      <w:r w:rsidR="00831E73" w:rsidRPr="002D01FE">
        <w:rPr>
          <w:lang w:val="lv-LV"/>
        </w:rPr>
        <w:t>:</w:t>
      </w:r>
      <w:r w:rsidRPr="002D01FE">
        <w:rPr>
          <w:lang w:val="lv-LV"/>
        </w:rPr>
        <w:t>45</w:t>
      </w:r>
      <w:r w:rsidR="007F192B" w:rsidRPr="002D01FE">
        <w:rPr>
          <w:lang w:val="lv-LV"/>
        </w:rPr>
        <w:t>.</w:t>
      </w:r>
    </w:p>
    <w:p w:rsidR="007F192B" w:rsidRPr="002D01FE" w:rsidRDefault="007F192B" w:rsidP="007F192B">
      <w:pPr>
        <w:spacing w:after="120"/>
        <w:rPr>
          <w:lang w:val="lv-LV"/>
        </w:rPr>
      </w:pPr>
      <w:r w:rsidRPr="002D01FE">
        <w:rPr>
          <w:lang w:val="lv-LV"/>
        </w:rPr>
        <w:t>SĒDĒ PIEDALĀS:</w:t>
      </w:r>
    </w:p>
    <w:tbl>
      <w:tblPr>
        <w:tblW w:w="9121" w:type="dxa"/>
        <w:tblLook w:val="0000" w:firstRow="0" w:lastRow="0" w:firstColumn="0" w:lastColumn="0" w:noHBand="0" w:noVBand="0"/>
      </w:tblPr>
      <w:tblGrid>
        <w:gridCol w:w="2802"/>
        <w:gridCol w:w="6319"/>
      </w:tblGrid>
      <w:tr w:rsidR="002C5C3C" w:rsidRPr="002D01FE" w:rsidTr="00112DBC">
        <w:tc>
          <w:tcPr>
            <w:tcW w:w="2802" w:type="dxa"/>
          </w:tcPr>
          <w:p w:rsidR="002C5C3C" w:rsidRPr="002D01FE" w:rsidRDefault="002C5C3C" w:rsidP="00112DBC">
            <w:pPr>
              <w:spacing w:after="120"/>
              <w:rPr>
                <w:lang w:val="lv-LV"/>
              </w:rPr>
            </w:pPr>
            <w:r w:rsidRPr="002D01FE">
              <w:rPr>
                <w:lang w:val="lv-LV"/>
              </w:rPr>
              <w:t>Komisijas priekšsēdētāja</w:t>
            </w:r>
          </w:p>
          <w:p w:rsidR="002C5C3C" w:rsidRPr="002D01FE" w:rsidRDefault="002C5C3C" w:rsidP="00112DBC">
            <w:pPr>
              <w:spacing w:before="360" w:after="120"/>
              <w:rPr>
                <w:lang w:val="lv-LV"/>
              </w:rPr>
            </w:pPr>
            <w:r w:rsidRPr="002D01FE">
              <w:rPr>
                <w:lang w:val="lv-LV"/>
              </w:rPr>
              <w:t>Komisijas locekļi:</w:t>
            </w:r>
          </w:p>
        </w:tc>
        <w:tc>
          <w:tcPr>
            <w:tcW w:w="6319" w:type="dxa"/>
          </w:tcPr>
          <w:p w:rsidR="002C5C3C" w:rsidRPr="002D01FE" w:rsidRDefault="002C5C3C" w:rsidP="00112DBC">
            <w:pPr>
              <w:spacing w:after="120"/>
              <w:jc w:val="both"/>
            </w:pPr>
            <w:r w:rsidRPr="002D01FE">
              <w:t>Jurate Kornutjaka – Daugavpils pilsētas domes Centralizēto iepirkumu nodaļas vadītāja,</w:t>
            </w:r>
          </w:p>
          <w:p w:rsidR="002C5C3C" w:rsidRPr="002D01FE" w:rsidRDefault="002C5C3C" w:rsidP="00112DBC">
            <w:pPr>
              <w:spacing w:after="120"/>
              <w:jc w:val="both"/>
            </w:pPr>
            <w:r w:rsidRPr="002D01FE">
              <w:t>Ilga Leikuma – Daugavpils pilsētas domes Centralizēto iepirkumu nodaļas iepirkumu speciāliste,</w:t>
            </w:r>
          </w:p>
        </w:tc>
      </w:tr>
      <w:tr w:rsidR="002C5C3C" w:rsidRPr="002D01FE" w:rsidTr="00112DBC">
        <w:tc>
          <w:tcPr>
            <w:tcW w:w="2802" w:type="dxa"/>
          </w:tcPr>
          <w:p w:rsidR="002C5C3C" w:rsidRPr="002D01FE" w:rsidRDefault="002C5C3C" w:rsidP="00112DBC">
            <w:pPr>
              <w:spacing w:before="120" w:after="120"/>
              <w:rPr>
                <w:lang w:val="lv-LV"/>
              </w:rPr>
            </w:pPr>
          </w:p>
        </w:tc>
        <w:tc>
          <w:tcPr>
            <w:tcW w:w="6319" w:type="dxa"/>
          </w:tcPr>
          <w:p w:rsidR="002C5C3C" w:rsidRPr="002D01FE" w:rsidRDefault="002C5C3C" w:rsidP="00112DBC">
            <w:pPr>
              <w:spacing w:after="120"/>
              <w:jc w:val="both"/>
            </w:pPr>
            <w:r w:rsidRPr="002D01FE">
              <w:t>Inga Zarāne – Daugavpils pilsētas domes Centralizēto iepirkumu nodaļas ekonomiste,</w:t>
            </w:r>
          </w:p>
          <w:p w:rsidR="002C5C3C" w:rsidRPr="002D01FE" w:rsidRDefault="002C5C3C" w:rsidP="00112DBC">
            <w:pPr>
              <w:spacing w:after="120"/>
              <w:jc w:val="both"/>
            </w:pPr>
            <w:r w:rsidRPr="002D01FE">
              <w:t>Evelīna Ugarinko – Daugavpils pilsētas domes Centralizēto iepirkumu nodaļas galvenā grāmatvede.</w:t>
            </w:r>
          </w:p>
        </w:tc>
      </w:tr>
      <w:tr w:rsidR="002C5C3C" w:rsidRPr="002D01FE" w:rsidTr="00112DBC">
        <w:tc>
          <w:tcPr>
            <w:tcW w:w="2802" w:type="dxa"/>
          </w:tcPr>
          <w:p w:rsidR="002C5C3C" w:rsidRPr="002D01FE" w:rsidRDefault="002C5C3C" w:rsidP="00112DBC">
            <w:pPr>
              <w:spacing w:after="120"/>
              <w:rPr>
                <w:lang w:val="lv-LV"/>
              </w:rPr>
            </w:pPr>
            <w:r w:rsidRPr="002D01FE">
              <w:rPr>
                <w:lang w:val="lv-LV"/>
              </w:rPr>
              <w:t>PROTOKOLĒ</w:t>
            </w:r>
          </w:p>
        </w:tc>
        <w:tc>
          <w:tcPr>
            <w:tcW w:w="6319" w:type="dxa"/>
          </w:tcPr>
          <w:p w:rsidR="002C5C3C" w:rsidRPr="002D01FE" w:rsidRDefault="002C5C3C" w:rsidP="00112DBC">
            <w:pPr>
              <w:pStyle w:val="Header"/>
              <w:tabs>
                <w:tab w:val="clear" w:pos="4153"/>
                <w:tab w:val="clear" w:pos="8306"/>
              </w:tabs>
              <w:spacing w:after="120"/>
              <w:jc w:val="both"/>
              <w:rPr>
                <w:lang w:val="lv-LV"/>
              </w:rPr>
            </w:pPr>
            <w:r w:rsidRPr="002D01FE">
              <w:rPr>
                <w:lang w:val="en-US"/>
              </w:rPr>
              <w:t xml:space="preserve">Komisijas </w:t>
            </w:r>
            <w:r w:rsidRPr="002D01FE">
              <w:rPr>
                <w:lang w:val="lv-LV"/>
              </w:rPr>
              <w:t xml:space="preserve">locekle I.Leikuma.  </w:t>
            </w:r>
          </w:p>
        </w:tc>
      </w:tr>
    </w:tbl>
    <w:p w:rsidR="004C598D" w:rsidRPr="002D01FE" w:rsidRDefault="002C5C3C" w:rsidP="000F1660">
      <w:pPr>
        <w:spacing w:after="120"/>
        <w:jc w:val="both"/>
        <w:rPr>
          <w:lang w:val="lv-LV"/>
        </w:rPr>
      </w:pPr>
      <w:r w:rsidRPr="002D01FE">
        <w:rPr>
          <w:lang w:val="lv-LV"/>
        </w:rPr>
        <w:t>Komisijas izveidošanas pamats: Daugavpils pilsētas domes izpilddirektores p.i. 2017.gada 1.septembra rīkojums Nr.402</w:t>
      </w:r>
      <w:r w:rsidR="004C598D" w:rsidRPr="002D01FE">
        <w:rPr>
          <w:lang w:val="lv-LV"/>
        </w:rPr>
        <w:t>.</w:t>
      </w:r>
    </w:p>
    <w:p w:rsidR="000F1660" w:rsidRPr="002D01FE" w:rsidRDefault="000F1660" w:rsidP="000F1660">
      <w:pPr>
        <w:spacing w:after="120"/>
        <w:jc w:val="both"/>
        <w:rPr>
          <w:lang w:val="lv-LV"/>
        </w:rPr>
      </w:pPr>
      <w:r w:rsidRPr="002D01FE">
        <w:rPr>
          <w:lang w:val="lv-LV"/>
        </w:rPr>
        <w:t>Datums, kad paziņojums par</w:t>
      </w:r>
      <w:r w:rsidRPr="002D01FE">
        <w:rPr>
          <w:bCs/>
          <w:lang w:val="lv-LV"/>
        </w:rPr>
        <w:t xml:space="preserve"> plānoto līgumu 9.panta kārtībā</w:t>
      </w:r>
      <w:r w:rsidRPr="002D01FE">
        <w:rPr>
          <w:lang w:val="lv-LV"/>
        </w:rPr>
        <w:t xml:space="preserve"> ievietots Iepirkuma Uzraudzības Biroja tīmekļvietnē: 2017.gada 1.septembris.</w:t>
      </w:r>
    </w:p>
    <w:p w:rsidR="000F1660" w:rsidRDefault="000F1660" w:rsidP="000F1660">
      <w:pPr>
        <w:spacing w:after="120"/>
        <w:jc w:val="both"/>
        <w:rPr>
          <w:lang w:val="lv-LV"/>
        </w:rPr>
      </w:pPr>
      <w:r w:rsidRPr="002D01FE">
        <w:rPr>
          <w:lang w:val="lv-LV"/>
        </w:rPr>
        <w:t>Piedāvājumu iesniegšanas termiņa pēdējā diena – 2017.gada 12.septembris.</w:t>
      </w:r>
    </w:p>
    <w:p w:rsidR="002D01FE" w:rsidRPr="005D569A" w:rsidRDefault="002D01FE" w:rsidP="002D01FE">
      <w:pPr>
        <w:spacing w:after="120"/>
        <w:jc w:val="both"/>
        <w:rPr>
          <w:sz w:val="23"/>
          <w:szCs w:val="23"/>
          <w:lang w:val="lv-LV"/>
        </w:rPr>
      </w:pPr>
      <w:r w:rsidRPr="002D01FE">
        <w:rPr>
          <w:bCs/>
          <w:sz w:val="23"/>
          <w:szCs w:val="23"/>
          <w:lang w:val="lv-LV"/>
        </w:rPr>
        <w:t>Datums, kad pieņemts lēmums par iespējamu līguma slēgšanas tiesību piešķiršanu – 201</w:t>
      </w:r>
      <w:r>
        <w:rPr>
          <w:bCs/>
          <w:sz w:val="23"/>
          <w:szCs w:val="23"/>
          <w:lang w:val="lv-LV"/>
        </w:rPr>
        <w:t>7</w:t>
      </w:r>
      <w:r w:rsidRPr="002D01FE">
        <w:rPr>
          <w:bCs/>
          <w:sz w:val="23"/>
          <w:szCs w:val="23"/>
          <w:lang w:val="lv-LV"/>
        </w:rPr>
        <w:t xml:space="preserve">.gada </w:t>
      </w:r>
      <w:r>
        <w:rPr>
          <w:bCs/>
          <w:sz w:val="23"/>
          <w:szCs w:val="23"/>
          <w:lang w:val="lv-LV"/>
        </w:rPr>
        <w:t>20</w:t>
      </w:r>
      <w:r w:rsidRPr="002D01FE">
        <w:rPr>
          <w:bCs/>
          <w:sz w:val="23"/>
          <w:szCs w:val="23"/>
          <w:lang w:val="lv-LV"/>
        </w:rPr>
        <w:t>.septembris.</w:t>
      </w:r>
    </w:p>
    <w:p w:rsidR="00E733A7" w:rsidRPr="002D01FE" w:rsidRDefault="00F01A6E" w:rsidP="007846FB">
      <w:pPr>
        <w:spacing w:after="120"/>
        <w:jc w:val="both"/>
        <w:rPr>
          <w:b/>
          <w:lang w:val="lv-LV"/>
        </w:rPr>
      </w:pPr>
      <w:r w:rsidRPr="002D01FE">
        <w:rPr>
          <w:b/>
          <w:lang w:val="lv-LV"/>
        </w:rPr>
        <w:t>Komisijas sēdes darba kārtība:</w:t>
      </w:r>
      <w:r w:rsidR="00EB60A4" w:rsidRPr="002D01FE">
        <w:rPr>
          <w:b/>
          <w:lang w:val="lv-LV"/>
        </w:rPr>
        <w:t xml:space="preserve"> </w:t>
      </w:r>
      <w:r w:rsidR="007846FB" w:rsidRPr="002D01FE">
        <w:rPr>
          <w:lang w:val="lv-LV"/>
        </w:rPr>
        <w:t>Lēmuma par uzvarētāju pieņemšana.</w:t>
      </w:r>
    </w:p>
    <w:p w:rsidR="004C34D7" w:rsidRPr="002D01FE" w:rsidRDefault="007846FB" w:rsidP="00CF7588">
      <w:pPr>
        <w:pStyle w:val="Style"/>
        <w:spacing w:before="120" w:after="120"/>
        <w:jc w:val="center"/>
        <w:rPr>
          <w:b/>
          <w:bCs/>
          <w:color w:val="000000" w:themeColor="text1"/>
          <w:sz w:val="24"/>
          <w:lang w:val="lv-LV"/>
        </w:rPr>
      </w:pPr>
      <w:r w:rsidRPr="002D01FE">
        <w:rPr>
          <w:b/>
          <w:sz w:val="24"/>
          <w:lang w:val="lv-LV"/>
        </w:rPr>
        <w:t>Lēmuma par uzvarētāju pieņemšana</w:t>
      </w:r>
    </w:p>
    <w:p w:rsidR="004C598D" w:rsidRPr="002D01FE" w:rsidRDefault="000F1660" w:rsidP="00B85D7B">
      <w:pPr>
        <w:pStyle w:val="BodyTextIndent"/>
        <w:numPr>
          <w:ilvl w:val="0"/>
          <w:numId w:val="39"/>
        </w:numPr>
        <w:spacing w:after="120"/>
        <w:rPr>
          <w:sz w:val="24"/>
        </w:rPr>
      </w:pPr>
      <w:r w:rsidRPr="002D01FE">
        <w:rPr>
          <w:sz w:val="24"/>
        </w:rPr>
        <w:t>Iepirkuma k</w:t>
      </w:r>
      <w:r w:rsidR="005269D0" w:rsidRPr="002D01FE">
        <w:rPr>
          <w:sz w:val="24"/>
        </w:rPr>
        <w:t>omisijas</w:t>
      </w:r>
      <w:r w:rsidRPr="002D01FE">
        <w:rPr>
          <w:sz w:val="24"/>
        </w:rPr>
        <w:t xml:space="preserve"> (turpmāk - Komisija)</w:t>
      </w:r>
      <w:r w:rsidR="005269D0" w:rsidRPr="002D01FE">
        <w:rPr>
          <w:sz w:val="24"/>
        </w:rPr>
        <w:t xml:space="preserve"> priekšsēdētāj</w:t>
      </w:r>
      <w:r w:rsidR="00E704B3" w:rsidRPr="002D01FE">
        <w:rPr>
          <w:sz w:val="24"/>
        </w:rPr>
        <w:t xml:space="preserve">a </w:t>
      </w:r>
      <w:r w:rsidR="00AD0072" w:rsidRPr="002D01FE">
        <w:rPr>
          <w:sz w:val="24"/>
        </w:rPr>
        <w:t>Jurate Kornutjaka</w:t>
      </w:r>
      <w:r w:rsidR="00E704B3" w:rsidRPr="002D01FE">
        <w:rPr>
          <w:sz w:val="24"/>
        </w:rPr>
        <w:t xml:space="preserve"> </w:t>
      </w:r>
      <w:r w:rsidR="004C34D7" w:rsidRPr="002D01FE">
        <w:rPr>
          <w:sz w:val="24"/>
        </w:rPr>
        <w:t>paziņo sēdi par atklā</w:t>
      </w:r>
      <w:r w:rsidR="000756E3" w:rsidRPr="002D01FE">
        <w:rPr>
          <w:sz w:val="24"/>
        </w:rPr>
        <w:t>tu,</w:t>
      </w:r>
      <w:r w:rsidR="004C598D" w:rsidRPr="002D01FE">
        <w:rPr>
          <w:sz w:val="24"/>
        </w:rPr>
        <w:t xml:space="preserve"> nosauc komisijas sastāvu.</w:t>
      </w:r>
    </w:p>
    <w:p w:rsidR="00904ED0" w:rsidRPr="002D01FE" w:rsidRDefault="000F1660" w:rsidP="00904ED0">
      <w:pPr>
        <w:pStyle w:val="BodyTextIndent"/>
        <w:numPr>
          <w:ilvl w:val="0"/>
          <w:numId w:val="39"/>
        </w:numPr>
        <w:tabs>
          <w:tab w:val="left" w:pos="0"/>
        </w:tabs>
        <w:spacing w:after="120"/>
        <w:rPr>
          <w:bCs/>
          <w:sz w:val="24"/>
        </w:rPr>
      </w:pPr>
      <w:r w:rsidRPr="002D01FE">
        <w:rPr>
          <w:sz w:val="24"/>
        </w:rPr>
        <w:t>I</w:t>
      </w:r>
      <w:r w:rsidR="00976540" w:rsidRPr="002D01FE">
        <w:rPr>
          <w:sz w:val="24"/>
        </w:rPr>
        <w:t xml:space="preserve">epirkums </w:t>
      </w:r>
      <w:r w:rsidRPr="002D01FE">
        <w:rPr>
          <w:sz w:val="24"/>
        </w:rPr>
        <w:t xml:space="preserve">nav </w:t>
      </w:r>
      <w:r w:rsidR="00C91BEF" w:rsidRPr="002D01FE">
        <w:rPr>
          <w:sz w:val="24"/>
        </w:rPr>
        <w:t xml:space="preserve">sadalīts </w:t>
      </w:r>
      <w:r w:rsidRPr="002D01FE">
        <w:rPr>
          <w:sz w:val="24"/>
        </w:rPr>
        <w:t>daļās.</w:t>
      </w:r>
    </w:p>
    <w:p w:rsidR="00904ED0" w:rsidRPr="002D01FE" w:rsidRDefault="00904ED0" w:rsidP="00904ED0">
      <w:pPr>
        <w:pStyle w:val="BodyTextIndent"/>
        <w:numPr>
          <w:ilvl w:val="0"/>
          <w:numId w:val="39"/>
        </w:numPr>
        <w:tabs>
          <w:tab w:val="left" w:pos="0"/>
        </w:tabs>
        <w:spacing w:after="120"/>
        <w:rPr>
          <w:bCs/>
          <w:sz w:val="24"/>
        </w:rPr>
      </w:pPr>
      <w:r w:rsidRPr="002D01FE">
        <w:rPr>
          <w:bCs/>
          <w:sz w:val="24"/>
        </w:rPr>
        <w:t xml:space="preserve">Komisija 2017.gada 12.septembra sēdē (protokols Nr.2) </w:t>
      </w:r>
      <w:r w:rsidR="0049590B" w:rsidRPr="002D01FE">
        <w:rPr>
          <w:bCs/>
          <w:sz w:val="24"/>
          <w:lang w:eastAsia="ar-SA"/>
        </w:rPr>
        <w:t>atvē</w:t>
      </w:r>
      <w:r w:rsidRPr="002D01FE">
        <w:rPr>
          <w:bCs/>
          <w:sz w:val="24"/>
          <w:lang w:eastAsia="ar-SA"/>
        </w:rPr>
        <w:t>r</w:t>
      </w:r>
      <w:r w:rsidR="0049590B" w:rsidRPr="002D01FE">
        <w:rPr>
          <w:bCs/>
          <w:sz w:val="24"/>
          <w:lang w:eastAsia="ar-SA"/>
        </w:rPr>
        <w:t>a</w:t>
      </w:r>
      <w:r w:rsidRPr="002D01FE">
        <w:rPr>
          <w:bCs/>
          <w:sz w:val="24"/>
          <w:lang w:eastAsia="ar-SA"/>
        </w:rPr>
        <w:t xml:space="preserve"> iesniegtos piedāvājumus </w:t>
      </w:r>
      <w:r w:rsidR="0049590B" w:rsidRPr="002D01FE">
        <w:rPr>
          <w:bCs/>
          <w:sz w:val="24"/>
          <w:lang w:eastAsia="ar-SA"/>
        </w:rPr>
        <w:t>un konstatēja, ka piedāvājumus iepirkumā</w:t>
      </w:r>
      <w:r w:rsidRPr="002D01FE">
        <w:rPr>
          <w:bCs/>
          <w:sz w:val="24"/>
          <w:lang w:eastAsia="ar-SA"/>
        </w:rPr>
        <w:t xml:space="preserve"> </w:t>
      </w:r>
      <w:r w:rsidR="0049590B" w:rsidRPr="002D01FE">
        <w:rPr>
          <w:bCs/>
          <w:sz w:val="24"/>
          <w:lang w:eastAsia="ar-SA"/>
        </w:rPr>
        <w:t xml:space="preserve">iesniedza </w:t>
      </w:r>
      <w:r w:rsidR="0065235B" w:rsidRPr="002D01FE">
        <w:rPr>
          <w:bCs/>
          <w:sz w:val="24"/>
          <w:lang w:eastAsia="ar-SA"/>
        </w:rPr>
        <w:t xml:space="preserve">šādi </w:t>
      </w:r>
      <w:r w:rsidR="0049590B" w:rsidRPr="002D01FE">
        <w:rPr>
          <w:bCs/>
          <w:sz w:val="24"/>
          <w:lang w:eastAsia="ar-SA"/>
        </w:rPr>
        <w:t>divi</w:t>
      </w:r>
      <w:r w:rsidRPr="002D01FE">
        <w:rPr>
          <w:bCs/>
          <w:sz w:val="24"/>
          <w:lang w:eastAsia="ar-SA"/>
        </w:rPr>
        <w:t xml:space="preserve"> pretendent</w:t>
      </w:r>
      <w:r w:rsidR="0049590B" w:rsidRPr="002D01FE">
        <w:rPr>
          <w:bCs/>
          <w:sz w:val="24"/>
          <w:lang w:eastAsia="ar-SA"/>
        </w:rPr>
        <w:t>i un piedāvāja</w:t>
      </w:r>
      <w:r w:rsidRPr="002D01FE">
        <w:rPr>
          <w:bCs/>
          <w:sz w:val="24"/>
          <w:lang w:eastAsia="ar-SA"/>
        </w:rPr>
        <w:t xml:space="preserve"> </w:t>
      </w:r>
      <w:r w:rsidR="0049590B" w:rsidRPr="002D01FE">
        <w:rPr>
          <w:bCs/>
          <w:sz w:val="24"/>
          <w:lang w:eastAsia="ar-SA"/>
        </w:rPr>
        <w:t>šādas</w:t>
      </w:r>
      <w:r w:rsidRPr="002D01FE">
        <w:rPr>
          <w:bCs/>
          <w:sz w:val="24"/>
          <w:lang w:eastAsia="ar-SA"/>
        </w:rPr>
        <w:t xml:space="preserve"> līgumcen</w:t>
      </w:r>
      <w:r w:rsidR="0049590B" w:rsidRPr="002D01FE">
        <w:rPr>
          <w:bCs/>
          <w:sz w:val="24"/>
          <w:lang w:eastAsia="ar-SA"/>
        </w:rPr>
        <w:t>as</w:t>
      </w:r>
      <w:r w:rsidRPr="002D01FE">
        <w:rPr>
          <w:bCs/>
          <w:sz w:val="24"/>
          <w:lang w:eastAsia="ar-SA"/>
        </w:rPr>
        <w:t xml:space="preserve"> bez pievienotās vērtības nodokļa</w:t>
      </w:r>
      <w:r w:rsidRPr="002D01FE">
        <w:rPr>
          <w:sz w:val="24"/>
        </w:rPr>
        <w:t>:</w:t>
      </w:r>
      <w:r w:rsidRPr="002D01FE">
        <w:rPr>
          <w:bCs/>
          <w:sz w:val="24"/>
          <w:lang w:eastAsia="ar-SA"/>
        </w:rPr>
        <w:t xml:space="preserv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52"/>
        <w:gridCol w:w="3686"/>
      </w:tblGrid>
      <w:tr w:rsidR="00904ED0" w:rsidRPr="00D02AF1" w:rsidTr="00881F5A">
        <w:tc>
          <w:tcPr>
            <w:tcW w:w="992" w:type="dxa"/>
            <w:shd w:val="clear" w:color="auto" w:fill="auto"/>
            <w:vAlign w:val="center"/>
          </w:tcPr>
          <w:p w:rsidR="00904ED0" w:rsidRPr="00E733A7" w:rsidRDefault="00904ED0" w:rsidP="00881F5A">
            <w:pPr>
              <w:jc w:val="center"/>
              <w:rPr>
                <w:b/>
                <w:lang w:val="lv-LV"/>
              </w:rPr>
            </w:pPr>
            <w:r w:rsidRPr="00E733A7">
              <w:rPr>
                <w:b/>
                <w:lang w:val="lv-LV"/>
              </w:rPr>
              <w:t>Nr.p.k.</w:t>
            </w:r>
          </w:p>
        </w:tc>
        <w:tc>
          <w:tcPr>
            <w:tcW w:w="4252" w:type="dxa"/>
            <w:shd w:val="clear" w:color="auto" w:fill="auto"/>
            <w:vAlign w:val="center"/>
          </w:tcPr>
          <w:p w:rsidR="00904ED0" w:rsidRPr="00E733A7" w:rsidRDefault="00904ED0" w:rsidP="00881F5A">
            <w:pPr>
              <w:jc w:val="center"/>
              <w:rPr>
                <w:b/>
                <w:lang w:val="lv-LV"/>
              </w:rPr>
            </w:pPr>
            <w:r w:rsidRPr="00E733A7">
              <w:rPr>
                <w:b/>
                <w:lang w:val="lv-LV"/>
              </w:rPr>
              <w:t>Pretendenta nosaukums</w:t>
            </w:r>
          </w:p>
        </w:tc>
        <w:tc>
          <w:tcPr>
            <w:tcW w:w="3686" w:type="dxa"/>
            <w:shd w:val="clear" w:color="auto" w:fill="auto"/>
            <w:vAlign w:val="center"/>
          </w:tcPr>
          <w:p w:rsidR="00904ED0" w:rsidRPr="00E733A7" w:rsidRDefault="00904ED0" w:rsidP="00881F5A">
            <w:pPr>
              <w:jc w:val="center"/>
              <w:rPr>
                <w:b/>
                <w:lang w:val="lv-LV"/>
              </w:rPr>
            </w:pPr>
            <w:r w:rsidRPr="00E733A7">
              <w:rPr>
                <w:b/>
                <w:lang w:val="lv-LV"/>
              </w:rPr>
              <w:t>Piedāvātā līgumcena</w:t>
            </w:r>
            <w:r w:rsidRPr="00E733A7">
              <w:rPr>
                <w:b/>
                <w:lang w:val="lv-LV"/>
              </w:rPr>
              <w:br/>
              <w:t xml:space="preserve"> </w:t>
            </w:r>
            <w:r w:rsidRPr="00E733A7">
              <w:rPr>
                <w:b/>
                <w:i/>
                <w:lang w:val="lv-LV"/>
              </w:rPr>
              <w:t>euro</w:t>
            </w:r>
            <w:r w:rsidRPr="00E733A7">
              <w:rPr>
                <w:b/>
                <w:lang w:val="lv-LV"/>
              </w:rPr>
              <w:t xml:space="preserve"> bez PVN</w:t>
            </w:r>
          </w:p>
        </w:tc>
      </w:tr>
      <w:tr w:rsidR="00904ED0" w:rsidRPr="00E733A7" w:rsidTr="00881F5A">
        <w:trPr>
          <w:trHeight w:val="277"/>
        </w:trPr>
        <w:tc>
          <w:tcPr>
            <w:tcW w:w="992" w:type="dxa"/>
            <w:shd w:val="clear" w:color="auto" w:fill="auto"/>
            <w:vAlign w:val="center"/>
          </w:tcPr>
          <w:p w:rsidR="00904ED0" w:rsidRPr="00E733A7" w:rsidRDefault="00904ED0" w:rsidP="00881F5A">
            <w:pPr>
              <w:jc w:val="center"/>
              <w:rPr>
                <w:lang w:val="lv-LV"/>
              </w:rPr>
            </w:pPr>
            <w:r w:rsidRPr="00E733A7">
              <w:rPr>
                <w:lang w:val="lv-LV"/>
              </w:rPr>
              <w:t>1.</w:t>
            </w:r>
          </w:p>
        </w:tc>
        <w:tc>
          <w:tcPr>
            <w:tcW w:w="4252" w:type="dxa"/>
            <w:shd w:val="clear" w:color="auto" w:fill="auto"/>
            <w:vAlign w:val="center"/>
          </w:tcPr>
          <w:p w:rsidR="00904ED0" w:rsidRPr="00E733A7" w:rsidRDefault="00904ED0" w:rsidP="00881F5A">
            <w:pPr>
              <w:rPr>
                <w:lang w:val="lv-LV"/>
              </w:rPr>
            </w:pPr>
            <w:r w:rsidRPr="00E733A7">
              <w:rPr>
                <w:rFonts w:eastAsia="Calibri"/>
                <w:lang w:val="lv-LV"/>
              </w:rPr>
              <w:t>SIA „BDO Audit”</w:t>
            </w:r>
          </w:p>
        </w:tc>
        <w:tc>
          <w:tcPr>
            <w:tcW w:w="3686" w:type="dxa"/>
            <w:shd w:val="clear" w:color="auto" w:fill="auto"/>
            <w:vAlign w:val="center"/>
          </w:tcPr>
          <w:p w:rsidR="00904ED0" w:rsidRPr="00E733A7" w:rsidRDefault="00904ED0" w:rsidP="00881F5A">
            <w:pPr>
              <w:jc w:val="center"/>
              <w:rPr>
                <w:lang w:val="lv-LV"/>
              </w:rPr>
            </w:pPr>
            <w:r w:rsidRPr="00E733A7">
              <w:rPr>
                <w:lang w:val="lv-LV"/>
              </w:rPr>
              <w:t>49 200,00</w:t>
            </w:r>
          </w:p>
        </w:tc>
      </w:tr>
      <w:tr w:rsidR="00904ED0" w:rsidRPr="00E733A7" w:rsidTr="00881F5A">
        <w:trPr>
          <w:trHeight w:val="305"/>
        </w:trPr>
        <w:tc>
          <w:tcPr>
            <w:tcW w:w="992" w:type="dxa"/>
            <w:shd w:val="clear" w:color="auto" w:fill="auto"/>
            <w:vAlign w:val="center"/>
          </w:tcPr>
          <w:p w:rsidR="00904ED0" w:rsidRPr="00E733A7" w:rsidRDefault="00904ED0" w:rsidP="00881F5A">
            <w:pPr>
              <w:jc w:val="center"/>
              <w:rPr>
                <w:lang w:val="lv-LV"/>
              </w:rPr>
            </w:pPr>
            <w:r w:rsidRPr="00E733A7">
              <w:rPr>
                <w:lang w:val="lv-LV"/>
              </w:rPr>
              <w:t>2.</w:t>
            </w:r>
          </w:p>
        </w:tc>
        <w:tc>
          <w:tcPr>
            <w:tcW w:w="4252" w:type="dxa"/>
            <w:shd w:val="clear" w:color="auto" w:fill="auto"/>
            <w:vAlign w:val="center"/>
          </w:tcPr>
          <w:p w:rsidR="00904ED0" w:rsidRPr="00E733A7" w:rsidRDefault="00904ED0" w:rsidP="00881F5A">
            <w:pPr>
              <w:rPr>
                <w:lang w:val="lv-LV"/>
              </w:rPr>
            </w:pPr>
            <w:r w:rsidRPr="00E733A7">
              <w:rPr>
                <w:lang w:val="lv-LV"/>
              </w:rPr>
              <w:t>SIA</w:t>
            </w:r>
            <w:r w:rsidRPr="00E733A7">
              <w:rPr>
                <w:rFonts w:eastAsia="Calibri"/>
                <w:lang w:val="lv-LV"/>
              </w:rPr>
              <w:t xml:space="preserve"> </w:t>
            </w:r>
            <w:r w:rsidRPr="00E733A7">
              <w:rPr>
                <w:lang w:val="lv-LV"/>
              </w:rPr>
              <w:t xml:space="preserve"> „</w:t>
            </w:r>
            <w:r w:rsidRPr="00E733A7">
              <w:t>Astrop Revision</w:t>
            </w:r>
            <w:r w:rsidRPr="00E733A7">
              <w:rPr>
                <w:lang w:val="lv-LV"/>
              </w:rPr>
              <w:t>”</w:t>
            </w:r>
          </w:p>
        </w:tc>
        <w:tc>
          <w:tcPr>
            <w:tcW w:w="3686" w:type="dxa"/>
            <w:shd w:val="clear" w:color="auto" w:fill="auto"/>
            <w:vAlign w:val="center"/>
          </w:tcPr>
          <w:p w:rsidR="00904ED0" w:rsidRPr="00E733A7" w:rsidRDefault="00904ED0" w:rsidP="00881F5A">
            <w:pPr>
              <w:jc w:val="center"/>
              <w:rPr>
                <w:lang w:val="lv-LV"/>
              </w:rPr>
            </w:pPr>
            <w:r w:rsidRPr="00E733A7">
              <w:rPr>
                <w:lang w:val="lv-LV"/>
              </w:rPr>
              <w:t>38 000,00</w:t>
            </w:r>
          </w:p>
        </w:tc>
      </w:tr>
    </w:tbl>
    <w:p w:rsidR="0065235B" w:rsidRPr="002D01FE" w:rsidRDefault="0065235B" w:rsidP="00B82C17">
      <w:pPr>
        <w:pStyle w:val="ListParagraph0"/>
        <w:numPr>
          <w:ilvl w:val="0"/>
          <w:numId w:val="39"/>
        </w:numPr>
        <w:spacing w:before="120" w:after="120"/>
        <w:ind w:left="357" w:hanging="357"/>
        <w:contextualSpacing w:val="0"/>
        <w:jc w:val="both"/>
        <w:rPr>
          <w:lang w:val="lv-LV"/>
        </w:rPr>
      </w:pPr>
      <w:r w:rsidRPr="002D01FE">
        <w:rPr>
          <w:lang w:val="lv-LV"/>
        </w:rPr>
        <w:lastRenderedPageBreak/>
        <w:t>Komisija</w:t>
      </w:r>
      <w:r w:rsidR="000050C4" w:rsidRPr="002D01FE">
        <w:rPr>
          <w:lang w:val="lv-LV"/>
        </w:rPr>
        <w:t xml:space="preserve"> 2017.gada 18.septembra sēdē (protokols Nr.3)</w:t>
      </w:r>
      <w:r w:rsidRPr="002D01FE">
        <w:rPr>
          <w:lang w:val="lv-LV"/>
        </w:rPr>
        <w:t xml:space="preserve"> konstatē</w:t>
      </w:r>
      <w:r w:rsidR="000050C4" w:rsidRPr="002D01FE">
        <w:rPr>
          <w:lang w:val="lv-LV"/>
        </w:rPr>
        <w:t>ja</w:t>
      </w:r>
      <w:r w:rsidRPr="002D01FE">
        <w:rPr>
          <w:lang w:val="lv-LV"/>
        </w:rPr>
        <w:t xml:space="preserve">, ka visi piedāvājumi ir cauršūti, cauraukloti un noformēti atbilstoši Iepirkuma nolikumā noteiktajām prasībām. </w:t>
      </w:r>
    </w:p>
    <w:p w:rsidR="00837CBB" w:rsidRPr="002D01FE" w:rsidRDefault="000050C4" w:rsidP="000050C4">
      <w:pPr>
        <w:pStyle w:val="BodyTextIndent"/>
        <w:numPr>
          <w:ilvl w:val="0"/>
          <w:numId w:val="39"/>
        </w:numPr>
        <w:spacing w:before="120" w:after="120"/>
        <w:rPr>
          <w:bCs/>
          <w:color w:val="000000"/>
          <w:sz w:val="24"/>
        </w:rPr>
      </w:pPr>
      <w:r w:rsidRPr="002D01FE">
        <w:rPr>
          <w:sz w:val="24"/>
        </w:rPr>
        <w:t xml:space="preserve">Komisija 2017.gada 18.septembra sēdē (protokols Nr.3) </w:t>
      </w:r>
      <w:r w:rsidR="007846FB" w:rsidRPr="002D01FE">
        <w:rPr>
          <w:sz w:val="24"/>
        </w:rPr>
        <w:t xml:space="preserve">konstatēja, ka </w:t>
      </w:r>
      <w:r w:rsidR="00837CBB" w:rsidRPr="002D01FE">
        <w:rPr>
          <w:sz w:val="24"/>
        </w:rPr>
        <w:t>pretendents SIA “BDO Audit” ir pilnībā apliecinājis savu kvalifikāciju.</w:t>
      </w:r>
    </w:p>
    <w:p w:rsidR="007846FB" w:rsidRPr="002D01FE" w:rsidRDefault="007846FB" w:rsidP="000050C4">
      <w:pPr>
        <w:pStyle w:val="BodyTextIndent"/>
        <w:numPr>
          <w:ilvl w:val="0"/>
          <w:numId w:val="39"/>
        </w:numPr>
        <w:spacing w:before="120" w:after="120"/>
        <w:rPr>
          <w:bCs/>
          <w:color w:val="000000"/>
          <w:sz w:val="24"/>
        </w:rPr>
      </w:pPr>
      <w:r w:rsidRPr="002D01FE">
        <w:rPr>
          <w:sz w:val="24"/>
        </w:rPr>
        <w:t xml:space="preserve">Komisija 2017.gada 20.septembra sēdē (protokols Nr.4) konstatēja, ka pretendents </w:t>
      </w:r>
      <w:r w:rsidRPr="002D01FE">
        <w:rPr>
          <w:sz w:val="24"/>
          <w:lang w:val="en-US"/>
        </w:rPr>
        <w:t>SIA „Astrop Revision” ir pilnībā apliecinājis savu kvalifikāciju.</w:t>
      </w:r>
    </w:p>
    <w:p w:rsidR="007846FB" w:rsidRPr="002D01FE" w:rsidRDefault="007846FB" w:rsidP="000050C4">
      <w:pPr>
        <w:pStyle w:val="BodyTextIndent"/>
        <w:numPr>
          <w:ilvl w:val="0"/>
          <w:numId w:val="39"/>
        </w:numPr>
        <w:spacing w:before="120" w:after="120"/>
        <w:rPr>
          <w:bCs/>
          <w:color w:val="000000"/>
          <w:sz w:val="24"/>
        </w:rPr>
      </w:pPr>
      <w:r w:rsidRPr="002D01FE">
        <w:rPr>
          <w:sz w:val="24"/>
        </w:rPr>
        <w:t xml:space="preserve">Komisija 2017.gada 20.septembra sēdē (protokols Nr.4) veica kritērija „Piedāvātā līgumcena” skaitlisko novērtēšanu un pretendentu tehnisko piedāvājumu pārbaudi atbilstoši tehniskās specifikācijas prasībām un Iepirkuma nolikuma 32.6.punktam, individuāli veicot kritērija „Revīzijas procesa organizācija, kvalitāte un efektivitāte” skaitlisko novērtēšanu saskaņā ar Iepirkuma nolikuma 42.punktā noteikto vērtēšanas metodiku. </w:t>
      </w:r>
      <w:r w:rsidR="00B5548A" w:rsidRPr="002D01FE">
        <w:rPr>
          <w:sz w:val="24"/>
        </w:rPr>
        <w:t>Pēc rezultātu apkopošanas vērtējums bija šāds: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3147"/>
        <w:gridCol w:w="1697"/>
        <w:gridCol w:w="1599"/>
        <w:gridCol w:w="1599"/>
      </w:tblGrid>
      <w:tr w:rsidR="00B5548A" w:rsidTr="00B5548A">
        <w:tc>
          <w:tcPr>
            <w:tcW w:w="994"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iCs/>
              </w:rPr>
              <w:t>Nr.p.k.</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iCs/>
                <w:spacing w:val="3"/>
              </w:rPr>
              <w:t>Kritērijs</w:t>
            </w:r>
          </w:p>
        </w:tc>
        <w:tc>
          <w:tcPr>
            <w:tcW w:w="169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rPr>
              <w:t>Kritērija maksimālā skaitliskā vērtība</w:t>
            </w:r>
          </w:p>
        </w:tc>
        <w:tc>
          <w:tcPr>
            <w:tcW w:w="1599" w:type="dxa"/>
            <w:tcBorders>
              <w:top w:val="single" w:sz="4" w:space="0" w:color="auto"/>
              <w:left w:val="single" w:sz="4" w:space="0" w:color="auto"/>
              <w:bottom w:val="single" w:sz="4" w:space="0" w:color="auto"/>
              <w:right w:val="single" w:sz="4" w:space="0" w:color="auto"/>
            </w:tcBorders>
            <w:hideMark/>
          </w:tcPr>
          <w:p w:rsidR="00B5548A" w:rsidRDefault="00B5548A">
            <w:pPr>
              <w:tabs>
                <w:tab w:val="left" w:pos="426"/>
              </w:tabs>
              <w:ind w:right="-57"/>
              <w:jc w:val="center"/>
              <w:rPr>
                <w:b/>
              </w:rPr>
            </w:pPr>
            <w:r>
              <w:rPr>
                <w:b/>
              </w:rPr>
              <w:t>Komisijas locekļu vērtējums pretendentam  SIA “BDO Audit”</w:t>
            </w:r>
          </w:p>
        </w:tc>
        <w:tc>
          <w:tcPr>
            <w:tcW w:w="1599" w:type="dxa"/>
            <w:tcBorders>
              <w:top w:val="single" w:sz="4" w:space="0" w:color="auto"/>
              <w:left w:val="single" w:sz="4" w:space="0" w:color="auto"/>
              <w:bottom w:val="single" w:sz="4" w:space="0" w:color="auto"/>
              <w:right w:val="single" w:sz="4" w:space="0" w:color="auto"/>
            </w:tcBorders>
            <w:hideMark/>
          </w:tcPr>
          <w:p w:rsidR="00B5548A" w:rsidRDefault="00B5548A">
            <w:pPr>
              <w:tabs>
                <w:tab w:val="left" w:pos="426"/>
              </w:tabs>
              <w:ind w:right="-57"/>
              <w:jc w:val="center"/>
              <w:rPr>
                <w:b/>
              </w:rPr>
            </w:pPr>
            <w:r>
              <w:rPr>
                <w:b/>
              </w:rPr>
              <w:t>Komisijas locekļu vērtējums pretendentam  SIA “Astro</w:t>
            </w:r>
            <w:r w:rsidR="002A0E40">
              <w:rPr>
                <w:b/>
              </w:rPr>
              <w:t>p</w:t>
            </w:r>
            <w:r>
              <w:rPr>
                <w:b/>
              </w:rPr>
              <w:t xml:space="preserve"> Revision”</w:t>
            </w:r>
          </w:p>
        </w:tc>
      </w:tr>
      <w:tr w:rsidR="00B5548A" w:rsidTr="00B5548A">
        <w:tc>
          <w:tcPr>
            <w:tcW w:w="994"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iCs/>
              </w:rPr>
              <w:t>l. (A)</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shd w:val="clear" w:color="auto" w:fill="FFFFFF"/>
              <w:rPr>
                <w:spacing w:val="3"/>
              </w:rPr>
            </w:pPr>
            <w:r>
              <w:rPr>
                <w:b/>
                <w:spacing w:val="3"/>
              </w:rPr>
              <w:t>Piedāvātā līgumcena</w:t>
            </w:r>
            <w:r>
              <w:rPr>
                <w:spacing w:val="3"/>
              </w:rPr>
              <w:t xml:space="preserve"> </w:t>
            </w:r>
          </w:p>
        </w:tc>
        <w:tc>
          <w:tcPr>
            <w:tcW w:w="169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rPr>
              <w:t>70</w:t>
            </w:r>
          </w:p>
        </w:tc>
        <w:tc>
          <w:tcPr>
            <w:tcW w:w="1599" w:type="dxa"/>
            <w:tcBorders>
              <w:top w:val="single" w:sz="4" w:space="0" w:color="auto"/>
              <w:left w:val="single" w:sz="4" w:space="0" w:color="auto"/>
              <w:bottom w:val="single" w:sz="4" w:space="0" w:color="auto"/>
              <w:right w:val="single" w:sz="4" w:space="0" w:color="auto"/>
            </w:tcBorders>
            <w:hideMark/>
          </w:tcPr>
          <w:p w:rsidR="00B5548A" w:rsidRDefault="00B5548A">
            <w:pPr>
              <w:tabs>
                <w:tab w:val="left" w:pos="426"/>
              </w:tabs>
              <w:ind w:right="-57"/>
              <w:jc w:val="center"/>
              <w:rPr>
                <w:b/>
              </w:rPr>
            </w:pPr>
            <w:r>
              <w:rPr>
                <w:b/>
              </w:rPr>
              <w:t>54,07</w:t>
            </w:r>
          </w:p>
        </w:tc>
        <w:tc>
          <w:tcPr>
            <w:tcW w:w="1599" w:type="dxa"/>
            <w:tcBorders>
              <w:top w:val="single" w:sz="4" w:space="0" w:color="auto"/>
              <w:left w:val="single" w:sz="4" w:space="0" w:color="auto"/>
              <w:bottom w:val="single" w:sz="4" w:space="0" w:color="auto"/>
              <w:right w:val="single" w:sz="4" w:space="0" w:color="auto"/>
            </w:tcBorders>
            <w:hideMark/>
          </w:tcPr>
          <w:p w:rsidR="00B5548A" w:rsidRDefault="00B5548A">
            <w:pPr>
              <w:tabs>
                <w:tab w:val="left" w:pos="426"/>
              </w:tabs>
              <w:ind w:right="-57"/>
              <w:jc w:val="center"/>
              <w:rPr>
                <w:b/>
              </w:rPr>
            </w:pPr>
            <w:r>
              <w:rPr>
                <w:b/>
              </w:rPr>
              <w:t>70</w:t>
            </w:r>
          </w:p>
        </w:tc>
      </w:tr>
      <w:tr w:rsidR="00B5548A" w:rsidTr="00B5548A">
        <w:trPr>
          <w:trHeight w:val="653"/>
        </w:trPr>
        <w:tc>
          <w:tcPr>
            <w:tcW w:w="994"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iCs/>
              </w:rPr>
              <w:t>2. (B)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left="34" w:right="-23" w:hanging="34"/>
              <w:rPr>
                <w:b/>
              </w:rPr>
            </w:pPr>
            <w:r>
              <w:rPr>
                <w:b/>
              </w:rPr>
              <w:t>Revīzijas procesa organizācija, kvalitāte un efektivitāte</w:t>
            </w:r>
          </w:p>
        </w:tc>
        <w:tc>
          <w:tcPr>
            <w:tcW w:w="169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rPr>
              <w:t>30</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rPr>
              <w:t>30</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rPr>
                <w:b/>
              </w:rPr>
            </w:pPr>
            <w:r>
              <w:rPr>
                <w:b/>
              </w:rPr>
              <w:t>30</w:t>
            </w:r>
          </w:p>
        </w:tc>
      </w:tr>
      <w:tr w:rsidR="00B5548A" w:rsidTr="00B5548A">
        <w:trPr>
          <w:trHeight w:val="407"/>
        </w:trPr>
        <w:tc>
          <w:tcPr>
            <w:tcW w:w="994"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left="33" w:right="-23"/>
              <w:jc w:val="center"/>
              <w:rPr>
                <w:b/>
              </w:rPr>
            </w:pPr>
            <w:r>
              <w:rPr>
                <w:noProof/>
              </w:rPr>
              <w:t>B1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right="-23"/>
              <w:rPr>
                <w:noProof/>
              </w:rPr>
            </w:pPr>
            <w:r>
              <w:rPr>
                <w:noProof/>
              </w:rPr>
              <w:t>Revīzijas procesa organizācija</w:t>
            </w:r>
          </w:p>
        </w:tc>
        <w:tc>
          <w:tcPr>
            <w:tcW w:w="169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6</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6</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6</w:t>
            </w:r>
          </w:p>
        </w:tc>
      </w:tr>
      <w:tr w:rsidR="00B5548A" w:rsidTr="00B5548A">
        <w:trPr>
          <w:trHeight w:val="401"/>
        </w:trPr>
        <w:tc>
          <w:tcPr>
            <w:tcW w:w="994"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left="33" w:right="-23"/>
              <w:jc w:val="center"/>
            </w:pPr>
            <w:r>
              <w:t>B2</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right="-23"/>
              <w:rPr>
                <w:noProof/>
              </w:rPr>
            </w:pPr>
            <w:r>
              <w:t>Pielietotā revīzijas metodoloģija</w:t>
            </w:r>
            <w:r>
              <w:rPr>
                <w:noProof/>
              </w:rPr>
              <w:t xml:space="preserve"> </w:t>
            </w:r>
          </w:p>
        </w:tc>
        <w:tc>
          <w:tcPr>
            <w:tcW w:w="169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12</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12</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12</w:t>
            </w:r>
          </w:p>
        </w:tc>
      </w:tr>
      <w:tr w:rsidR="00B5548A" w:rsidTr="00B5548A">
        <w:tc>
          <w:tcPr>
            <w:tcW w:w="994"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left="33" w:right="-23"/>
              <w:jc w:val="center"/>
              <w:rPr>
                <w:noProof/>
              </w:rPr>
            </w:pPr>
            <w:r>
              <w:rPr>
                <w:noProof/>
              </w:rPr>
              <w:t>B3</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widowControl w:val="0"/>
              <w:tabs>
                <w:tab w:val="left" w:pos="-850"/>
              </w:tabs>
              <w:autoSpaceDE w:val="0"/>
              <w:autoSpaceDN w:val="0"/>
              <w:adjustRightInd w:val="0"/>
              <w:ind w:right="-23"/>
            </w:pPr>
            <w:r>
              <w:rPr>
                <w:noProof/>
              </w:rPr>
              <w:t>Revīzijas pakalpojuma laika grafiks</w:t>
            </w:r>
          </w:p>
        </w:tc>
        <w:tc>
          <w:tcPr>
            <w:tcW w:w="1697"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12</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12</w:t>
            </w:r>
          </w:p>
        </w:tc>
        <w:tc>
          <w:tcPr>
            <w:tcW w:w="1599" w:type="dxa"/>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center"/>
            </w:pPr>
            <w:r>
              <w:t>12</w:t>
            </w:r>
          </w:p>
        </w:tc>
      </w:tr>
      <w:tr w:rsidR="00B5548A" w:rsidTr="00B5548A">
        <w:tc>
          <w:tcPr>
            <w:tcW w:w="5838" w:type="dxa"/>
            <w:gridSpan w:val="3"/>
            <w:tcBorders>
              <w:top w:val="single" w:sz="4" w:space="0" w:color="auto"/>
              <w:left w:val="single" w:sz="4" w:space="0" w:color="auto"/>
              <w:bottom w:val="single" w:sz="4" w:space="0" w:color="auto"/>
              <w:right w:val="single" w:sz="4" w:space="0" w:color="auto"/>
            </w:tcBorders>
            <w:vAlign w:val="center"/>
            <w:hideMark/>
          </w:tcPr>
          <w:p w:rsidR="00B5548A" w:rsidRDefault="00B5548A">
            <w:pPr>
              <w:tabs>
                <w:tab w:val="left" w:pos="426"/>
              </w:tabs>
              <w:ind w:right="-57"/>
              <w:jc w:val="right"/>
              <w:rPr>
                <w:b/>
              </w:rPr>
            </w:pPr>
            <w:r>
              <w:rPr>
                <w:b/>
              </w:rPr>
              <w:t>KOPĀ</w:t>
            </w:r>
          </w:p>
        </w:tc>
        <w:tc>
          <w:tcPr>
            <w:tcW w:w="1599" w:type="dxa"/>
            <w:tcBorders>
              <w:top w:val="single" w:sz="4" w:space="0" w:color="auto"/>
              <w:left w:val="single" w:sz="4" w:space="0" w:color="auto"/>
              <w:bottom w:val="single" w:sz="4" w:space="0" w:color="auto"/>
              <w:right w:val="single" w:sz="4" w:space="0" w:color="auto"/>
            </w:tcBorders>
            <w:hideMark/>
          </w:tcPr>
          <w:p w:rsidR="00B5548A" w:rsidRDefault="00B5548A">
            <w:pPr>
              <w:tabs>
                <w:tab w:val="left" w:pos="426"/>
              </w:tabs>
              <w:ind w:right="-57"/>
              <w:jc w:val="center"/>
              <w:rPr>
                <w:b/>
              </w:rPr>
            </w:pPr>
            <w:r>
              <w:rPr>
                <w:b/>
              </w:rPr>
              <w:t>84,07</w:t>
            </w:r>
          </w:p>
        </w:tc>
        <w:tc>
          <w:tcPr>
            <w:tcW w:w="1599" w:type="dxa"/>
            <w:tcBorders>
              <w:top w:val="single" w:sz="4" w:space="0" w:color="auto"/>
              <w:left w:val="single" w:sz="4" w:space="0" w:color="auto"/>
              <w:bottom w:val="single" w:sz="4" w:space="0" w:color="auto"/>
              <w:right w:val="single" w:sz="4" w:space="0" w:color="auto"/>
            </w:tcBorders>
            <w:hideMark/>
          </w:tcPr>
          <w:p w:rsidR="00B5548A" w:rsidRDefault="00B5548A">
            <w:pPr>
              <w:tabs>
                <w:tab w:val="left" w:pos="426"/>
              </w:tabs>
              <w:ind w:right="-57"/>
              <w:jc w:val="center"/>
              <w:rPr>
                <w:b/>
              </w:rPr>
            </w:pPr>
            <w:r>
              <w:rPr>
                <w:b/>
              </w:rPr>
              <w:t>100</w:t>
            </w:r>
          </w:p>
        </w:tc>
      </w:tr>
    </w:tbl>
    <w:p w:rsidR="00B5548A" w:rsidRPr="002D01FE" w:rsidRDefault="00B5548A" w:rsidP="000050C4">
      <w:pPr>
        <w:pStyle w:val="BodyTextIndent"/>
        <w:numPr>
          <w:ilvl w:val="0"/>
          <w:numId w:val="39"/>
        </w:numPr>
        <w:spacing w:before="120" w:after="120"/>
        <w:rPr>
          <w:bCs/>
          <w:color w:val="000000"/>
          <w:sz w:val="24"/>
        </w:rPr>
      </w:pPr>
      <w:r w:rsidRPr="002D01FE">
        <w:rPr>
          <w:sz w:val="24"/>
        </w:rPr>
        <w:t>Komisija 2017.gada 20.septembra sēdē (protokols Nr.4) konstatēja, ka:</w:t>
      </w:r>
    </w:p>
    <w:p w:rsidR="00B5548A" w:rsidRPr="002D01FE" w:rsidRDefault="00B5548A" w:rsidP="00B5548A">
      <w:pPr>
        <w:pStyle w:val="BodyTextIndent"/>
        <w:numPr>
          <w:ilvl w:val="1"/>
          <w:numId w:val="39"/>
        </w:numPr>
        <w:spacing w:before="120" w:after="120"/>
        <w:rPr>
          <w:bCs/>
          <w:color w:val="000000"/>
          <w:sz w:val="24"/>
        </w:rPr>
      </w:pPr>
      <w:r w:rsidRPr="002D01FE">
        <w:rPr>
          <w:bCs/>
          <w:color w:val="000000"/>
          <w:sz w:val="24"/>
        </w:rPr>
        <w:t xml:space="preserve">pretendents SIA „BDO Audit” atbilstoši Iepirkuma nolikuma 41.punkta metodikai kritērijam „Piedāvātā līgumcena” ieguva šādu punktu skaitu: 38000/49200 x 70 = </w:t>
      </w:r>
      <w:r w:rsidRPr="002D01FE">
        <w:rPr>
          <w:b/>
          <w:bCs/>
          <w:color w:val="000000"/>
          <w:sz w:val="24"/>
        </w:rPr>
        <w:t>54,07 punktus</w:t>
      </w:r>
      <w:r w:rsidRPr="002D01FE">
        <w:rPr>
          <w:bCs/>
          <w:color w:val="000000"/>
          <w:sz w:val="24"/>
        </w:rPr>
        <w:t xml:space="preserve">, bet pretendents SIA „Astrop Revisiom”, kas piedāvājis zemāko cenu, – ieguva maksimālo punktu skaitu: 38000/38000 x 70 = </w:t>
      </w:r>
      <w:r w:rsidRPr="002D01FE">
        <w:rPr>
          <w:b/>
          <w:bCs/>
          <w:color w:val="000000"/>
          <w:sz w:val="24"/>
        </w:rPr>
        <w:t>70 punktus;</w:t>
      </w:r>
    </w:p>
    <w:p w:rsidR="00B5548A" w:rsidRPr="002D01FE" w:rsidRDefault="00B5548A" w:rsidP="00B5548A">
      <w:pPr>
        <w:pStyle w:val="BodyTextIndent"/>
        <w:numPr>
          <w:ilvl w:val="1"/>
          <w:numId w:val="39"/>
        </w:numPr>
        <w:spacing w:before="120" w:after="120"/>
        <w:rPr>
          <w:bCs/>
          <w:color w:val="000000"/>
          <w:sz w:val="24"/>
        </w:rPr>
      </w:pPr>
      <w:r w:rsidRPr="002D01FE">
        <w:rPr>
          <w:bCs/>
          <w:color w:val="000000"/>
          <w:sz w:val="24"/>
        </w:rPr>
        <w:t xml:space="preserve">pretendents SIA „BDO Audit” un pretendents SIA „Astrop Revision” atbilstoši Iepirkuma nolikuma 42.punkta metodikai kritērijam „Revīzijas procesa organizācija, kvalitāte un efektivitāte” ieguva maksimāli iespējamo punktu skaitu – </w:t>
      </w:r>
      <w:r w:rsidRPr="002D01FE">
        <w:rPr>
          <w:b/>
          <w:bCs/>
          <w:color w:val="000000"/>
          <w:sz w:val="24"/>
        </w:rPr>
        <w:t>30 punktus</w:t>
      </w:r>
      <w:r w:rsidRPr="002D01FE">
        <w:rPr>
          <w:bCs/>
          <w:color w:val="000000"/>
          <w:sz w:val="24"/>
        </w:rPr>
        <w:t>;</w:t>
      </w:r>
    </w:p>
    <w:p w:rsidR="00B5548A" w:rsidRPr="002D01FE" w:rsidRDefault="00B5548A" w:rsidP="00B5548A">
      <w:pPr>
        <w:pStyle w:val="BodyTextIndent"/>
        <w:numPr>
          <w:ilvl w:val="1"/>
          <w:numId w:val="39"/>
        </w:numPr>
        <w:spacing w:before="120" w:after="120"/>
        <w:rPr>
          <w:bCs/>
          <w:color w:val="000000"/>
          <w:sz w:val="24"/>
        </w:rPr>
      </w:pPr>
      <w:r w:rsidRPr="002D01FE">
        <w:rPr>
          <w:bCs/>
          <w:color w:val="000000"/>
          <w:sz w:val="24"/>
        </w:rPr>
        <w:t>atbilstoši Iepikuma nolikuma 40.punkta noteiktajai vērtēšanas metodikai:</w:t>
      </w:r>
    </w:p>
    <w:p w:rsidR="00B5548A" w:rsidRPr="002D01FE" w:rsidRDefault="00B5548A" w:rsidP="00B5548A">
      <w:pPr>
        <w:pStyle w:val="BodyTextIndent"/>
        <w:numPr>
          <w:ilvl w:val="2"/>
          <w:numId w:val="39"/>
        </w:numPr>
        <w:spacing w:before="120" w:after="120"/>
        <w:ind w:left="851" w:firstLine="0"/>
        <w:rPr>
          <w:bCs/>
          <w:color w:val="000000"/>
          <w:sz w:val="24"/>
        </w:rPr>
      </w:pPr>
      <w:r w:rsidRPr="002D01FE">
        <w:rPr>
          <w:bCs/>
          <w:color w:val="000000"/>
          <w:sz w:val="24"/>
        </w:rPr>
        <w:t>pretendents SIA „BDO Audit” ieguva šādu skaitlisko novērtējumu: 54,07 + 30 =  84,07 punkti;</w:t>
      </w:r>
    </w:p>
    <w:p w:rsidR="00B5548A" w:rsidRPr="002D01FE" w:rsidRDefault="00B5548A" w:rsidP="00B5548A">
      <w:pPr>
        <w:pStyle w:val="BodyTextIndent"/>
        <w:numPr>
          <w:ilvl w:val="2"/>
          <w:numId w:val="39"/>
        </w:numPr>
        <w:spacing w:before="120" w:after="120"/>
        <w:ind w:left="851" w:firstLine="0"/>
        <w:rPr>
          <w:bCs/>
          <w:color w:val="000000"/>
          <w:sz w:val="24"/>
        </w:rPr>
      </w:pPr>
      <w:r w:rsidRPr="002D01FE">
        <w:rPr>
          <w:bCs/>
          <w:color w:val="000000"/>
          <w:sz w:val="24"/>
        </w:rPr>
        <w:t>pretendents SIA „Astop Revision” ieguva šādu skaitlisko novērtējumu: 70 + 30 = 100 punkti.</w:t>
      </w:r>
    </w:p>
    <w:p w:rsidR="00B5548A" w:rsidRPr="002D01FE" w:rsidRDefault="00B5548A" w:rsidP="00B5548A">
      <w:pPr>
        <w:pStyle w:val="ListParagraph0"/>
        <w:numPr>
          <w:ilvl w:val="0"/>
          <w:numId w:val="39"/>
        </w:numPr>
        <w:jc w:val="both"/>
        <w:rPr>
          <w:lang w:val="lv-LV"/>
        </w:rPr>
      </w:pPr>
      <w:r w:rsidRPr="002D01FE">
        <w:rPr>
          <w:lang w:val="lv-LV"/>
        </w:rPr>
        <w:t xml:space="preserve">Komisija 2017.gada 20.septembra sēdē (protokols Nr.4) secināja, ka augstāko skaitlisko novērtējumu ir ieguvis pretendents SIA „Astrop Revision” – 100 punktus - un ka pretendents SIA „Astrop Revision” atzīstams par pretendentu, kuram atbilstoši piedāvājuma izvēles kritērijam būtu piešķiramas līguma slēgšanas tiesības iepirkumā „Revīzijas veikšana un </w:t>
      </w:r>
      <w:r w:rsidRPr="002D01FE">
        <w:rPr>
          <w:lang w:val="lv-LV"/>
        </w:rPr>
        <w:lastRenderedPageBreak/>
        <w:t>zvērināta revidenta ziņojuma sniegšana par Daugavpils pilsētas pašvaldības 2017. un 2018.gada konsolidēto pārskatu”, identifikācijas numurs DPD 2017/121.</w:t>
      </w:r>
    </w:p>
    <w:p w:rsidR="00B5548A" w:rsidRPr="002D01FE" w:rsidRDefault="00B5548A" w:rsidP="00B5548A">
      <w:pPr>
        <w:pStyle w:val="ListParagraph0"/>
        <w:numPr>
          <w:ilvl w:val="0"/>
          <w:numId w:val="39"/>
        </w:numPr>
        <w:spacing w:before="120" w:after="120"/>
        <w:ind w:left="357" w:hanging="357"/>
        <w:contextualSpacing w:val="0"/>
        <w:jc w:val="both"/>
        <w:rPr>
          <w:lang w:val="lv-LV"/>
        </w:rPr>
      </w:pPr>
      <w:r w:rsidRPr="002D01FE">
        <w:rPr>
          <w:lang w:val="lv-LV"/>
        </w:rPr>
        <w:t>Komisija 2017.gada 20.septembra sēdē (protokols Nr.4) nolēma:</w:t>
      </w:r>
    </w:p>
    <w:p w:rsidR="00B5548A" w:rsidRPr="002D01FE" w:rsidRDefault="00B5548A" w:rsidP="00B5548A">
      <w:pPr>
        <w:pStyle w:val="BodyTextIndent"/>
        <w:numPr>
          <w:ilvl w:val="1"/>
          <w:numId w:val="39"/>
        </w:numPr>
        <w:tabs>
          <w:tab w:val="left" w:pos="0"/>
        </w:tabs>
        <w:spacing w:before="120" w:after="120"/>
        <w:rPr>
          <w:bCs/>
          <w:sz w:val="24"/>
        </w:rPr>
      </w:pPr>
      <w:r w:rsidRPr="002D01FE">
        <w:rPr>
          <w:bCs/>
          <w:sz w:val="24"/>
        </w:rPr>
        <w:t>atzīt SIA „Astrop Revision”, reģ.Nr.</w:t>
      </w:r>
      <w:r w:rsidRPr="002D01FE">
        <w:rPr>
          <w:sz w:val="24"/>
          <w:shd w:val="clear" w:color="auto" w:fill="FFFFFF"/>
        </w:rPr>
        <w:t xml:space="preserve"> 40003000892</w:t>
      </w:r>
      <w:r w:rsidRPr="002D01FE">
        <w:rPr>
          <w:bCs/>
          <w:sz w:val="24"/>
        </w:rPr>
        <w:t>, juridiskā adrese: Aspazijas bulvāris 20, Rīga, LV-1050, par pretendentu, kuram atbilstoši piedāvājuma izvēles kritērijam būtu piešķiramas līguma slēgšanas tiesības iepirkumā „Revīzijas veikšana un zvērināta revidenta ziņojuma sniegšana par Daugavpils pilsētas pašvaldības 2017. un 2018.gada konsolidēto pārskatu”, identifikācijas numurs DPD 2017/121;</w:t>
      </w:r>
    </w:p>
    <w:p w:rsidR="00B5548A" w:rsidRPr="002D01FE" w:rsidRDefault="00B5548A" w:rsidP="00B5548A">
      <w:pPr>
        <w:pStyle w:val="BodyTextIndent"/>
        <w:numPr>
          <w:ilvl w:val="1"/>
          <w:numId w:val="39"/>
        </w:numPr>
        <w:tabs>
          <w:tab w:val="left" w:pos="0"/>
        </w:tabs>
        <w:spacing w:before="120" w:after="120"/>
        <w:rPr>
          <w:bCs/>
          <w:sz w:val="24"/>
        </w:rPr>
      </w:pPr>
      <w:r w:rsidRPr="002D01FE">
        <w:rPr>
          <w:bCs/>
          <w:sz w:val="24"/>
        </w:rPr>
        <w:t>uzdot Komisijas loceklei I.Leikumai pārbaudīt Publisko iepirkumu likuma 9.panta astotajā daļā norādīto izslēdzošo apstākļu esamību attiecībā uz pretendentu SIA „Astrop Revision””;</w:t>
      </w:r>
    </w:p>
    <w:p w:rsidR="00B5548A" w:rsidRPr="002D01FE" w:rsidRDefault="00B5548A" w:rsidP="00B5548A">
      <w:pPr>
        <w:pStyle w:val="ListParagraph0"/>
        <w:numPr>
          <w:ilvl w:val="1"/>
          <w:numId w:val="39"/>
        </w:numPr>
        <w:spacing w:before="120" w:after="120"/>
        <w:contextualSpacing w:val="0"/>
        <w:jc w:val="both"/>
        <w:rPr>
          <w:lang w:val="lv-LV"/>
        </w:rPr>
      </w:pPr>
      <w:r w:rsidRPr="002D01FE">
        <w:rPr>
          <w:bCs/>
          <w:lang w:val="lv-LV"/>
        </w:rPr>
        <w:t>atlikt lēmuma par uzvarētāju pieņemšanu līdz minētās informācijas pārbaudei</w:t>
      </w:r>
    </w:p>
    <w:p w:rsidR="00B5548A" w:rsidRPr="002D01FE" w:rsidRDefault="00B5548A" w:rsidP="00B5548A">
      <w:pPr>
        <w:numPr>
          <w:ilvl w:val="0"/>
          <w:numId w:val="39"/>
        </w:numPr>
        <w:tabs>
          <w:tab w:val="left" w:pos="0"/>
        </w:tabs>
        <w:spacing w:before="120"/>
        <w:jc w:val="both"/>
        <w:rPr>
          <w:lang w:val="lv-LV" w:eastAsia="lv-LV"/>
        </w:rPr>
      </w:pPr>
      <w:r w:rsidRPr="002D01FE">
        <w:rPr>
          <w:lang w:val="lv-LV" w:eastAsia="lv-LV"/>
        </w:rPr>
        <w:t xml:space="preserve">Komisijas locekle I.Leikuma ziņo, ka pamatojoties uz Publisko iepirkumu likuma 9.panta devīto daļu, izmantojot Ministru kabineta noteikto informācijas sistēmu </w:t>
      </w:r>
      <w:hyperlink r:id="rId9" w:history="1">
        <w:r w:rsidRPr="002D01FE">
          <w:rPr>
            <w:rStyle w:val="Hyperlink"/>
            <w:color w:val="auto"/>
            <w:lang w:val="lv-LV" w:eastAsia="lv-LV"/>
          </w:rPr>
          <w:t>https://www.eis.gov.lv</w:t>
        </w:r>
      </w:hyperlink>
      <w:r w:rsidRPr="002D01FE">
        <w:rPr>
          <w:lang w:val="lv-LV" w:eastAsia="lv-LV"/>
        </w:rPr>
        <w:t>, 2017.gada 20.septembrī ir izdrukājusi e-izziņas, kas apliecina, ka attiecībā uz pretendentu SIA „Astrop Revision” nepastāv Publisko iepirkumu likuma 9.panta astotās daļas 1. un 2.punktā norādītie izslēgšanas nosacījumi:</w:t>
      </w:r>
    </w:p>
    <w:p w:rsidR="00B5548A" w:rsidRPr="002D01FE" w:rsidRDefault="00B5548A" w:rsidP="00B5548A">
      <w:pPr>
        <w:numPr>
          <w:ilvl w:val="1"/>
          <w:numId w:val="39"/>
        </w:numPr>
        <w:tabs>
          <w:tab w:val="left" w:pos="0"/>
        </w:tabs>
        <w:spacing w:before="120"/>
        <w:jc w:val="both"/>
        <w:rPr>
          <w:lang w:val="lv-LV" w:eastAsia="lv-LV"/>
        </w:rPr>
      </w:pPr>
      <w:r w:rsidRPr="002D01FE">
        <w:rPr>
          <w:lang w:val="lv-LV" w:eastAsia="lv-LV"/>
        </w:rPr>
        <w:t xml:space="preserve">pretendentam </w:t>
      </w:r>
      <w:r w:rsidRPr="002D01FE">
        <w:rPr>
          <w:lang w:val="lv-LV"/>
        </w:rPr>
        <w:t xml:space="preserve">SIA „Astrop revision” </w:t>
      </w:r>
      <w:r w:rsidRPr="002D01FE">
        <w:rPr>
          <w:lang w:val="lv-LV" w:eastAsia="lv-LV"/>
        </w:rPr>
        <w:t>nav pasludināts maksātnespējas process, apturēta tā saimnieciskā darbība un tas netiek likvidēts;</w:t>
      </w:r>
    </w:p>
    <w:p w:rsidR="00B5548A" w:rsidRPr="002D01FE" w:rsidRDefault="00B5548A" w:rsidP="00B5548A">
      <w:pPr>
        <w:numPr>
          <w:ilvl w:val="1"/>
          <w:numId w:val="39"/>
        </w:numPr>
        <w:tabs>
          <w:tab w:val="left" w:pos="0"/>
        </w:tabs>
        <w:spacing w:before="120"/>
        <w:jc w:val="both"/>
        <w:rPr>
          <w:lang w:val="lv-LV" w:eastAsia="lv-LV"/>
        </w:rPr>
      </w:pPr>
      <w:r w:rsidRPr="002D01FE">
        <w:rPr>
          <w:lang w:val="lv-LV" w:eastAsia="lv-LV"/>
        </w:rPr>
        <w:t xml:space="preserve">piedāvājumu iesniegšanas termiņa pēdējā dienā (2017.gada 12.septembrī) vai dienā, kad pieņemts lēmums par iespējamu iepirkuma līguma slēgšanas tiesību piešķiršanu, (2017.gada 20.septembrī) pretendentam </w:t>
      </w:r>
      <w:r w:rsidRPr="002D01FE">
        <w:rPr>
          <w:lang w:val="lv-LV"/>
        </w:rPr>
        <w:t>SIA „Astrop Revision”</w:t>
      </w:r>
      <w:r w:rsidRPr="002D01FE">
        <w:rPr>
          <w:lang w:val="lv-LV" w:eastAsia="lv-LV"/>
        </w:rPr>
        <w:t xml:space="preserve"> nav nodokļu parādi, tai skaitā valsts sociālās apdrošināšanas obligāto iemaksu parādi, kas kopsummā pārsniedz 150 </w:t>
      </w:r>
      <w:r w:rsidRPr="002D01FE">
        <w:rPr>
          <w:i/>
          <w:lang w:val="lv-LV" w:eastAsia="lv-LV"/>
        </w:rPr>
        <w:t>euro</w:t>
      </w:r>
      <w:r w:rsidRPr="002D01FE">
        <w:rPr>
          <w:lang w:val="lv-LV" w:eastAsia="lv-LV"/>
        </w:rPr>
        <w:t>.</w:t>
      </w:r>
    </w:p>
    <w:p w:rsidR="00B5548A" w:rsidRPr="002D01FE" w:rsidRDefault="00B5548A" w:rsidP="00B5548A">
      <w:pPr>
        <w:numPr>
          <w:ilvl w:val="0"/>
          <w:numId w:val="39"/>
        </w:numPr>
        <w:tabs>
          <w:tab w:val="left" w:pos="0"/>
        </w:tabs>
        <w:spacing w:before="120"/>
        <w:jc w:val="both"/>
        <w:rPr>
          <w:lang w:val="lv-LV" w:eastAsia="lv-LV"/>
        </w:rPr>
      </w:pPr>
      <w:r w:rsidRPr="002D01FE">
        <w:rPr>
          <w:lang w:val="lv-LV" w:eastAsia="lv-LV"/>
        </w:rPr>
        <w:t xml:space="preserve">Publisko iepirkumu likuma 9.panta astotās daļas 3.punktā noteiktā izslēdzošā apstākļa neesība attiecībā uz pretendentu ir pārbaudīta 2017.gada 12.septembra piedāvājumu atvēršanas sanāksmē (prot.Nr.2). Pirms lēmuma pieņemšanas Komisijas priekšsēdētāja J.Kornutjaka pārjautā Komisijas locekļiem, vai vērtēšanas procesā nav atklājušies apstākļi, atbilstoši kuriem ir uzskatāms, ka kāds komisijas loceklis ir saistīts ar pretendentu Publisko iepirkumu likuma 25.panta pirmās daļas izpratnē. Komisijas locekļi atbild noraidoši. </w:t>
      </w:r>
    </w:p>
    <w:p w:rsidR="00B5548A" w:rsidRPr="002D01FE" w:rsidRDefault="00B5548A" w:rsidP="00B5548A">
      <w:pPr>
        <w:numPr>
          <w:ilvl w:val="0"/>
          <w:numId w:val="39"/>
        </w:numPr>
        <w:tabs>
          <w:tab w:val="left" w:pos="0"/>
        </w:tabs>
        <w:spacing w:before="120"/>
        <w:jc w:val="both"/>
        <w:rPr>
          <w:lang w:val="lv-LV" w:eastAsia="lv-LV"/>
        </w:rPr>
      </w:pPr>
      <w:r w:rsidRPr="002D01FE">
        <w:rPr>
          <w:lang w:val="lv-LV" w:eastAsia="lv-LV"/>
        </w:rPr>
        <w:t>Komisija nekonstatē arī Publisko iepirkumu likuma 9.panta astotās daļas 4.punktā noteikto izslēdzošo apstākļu esību attiecībā uz pretendentu. Komisija konstatē, ka pretendents nav personālsabiedrības biedrs un pretendents nebalstās uz personu, lai apliecinātu, ka tā kvalifikācija atbilst paziņojumā par līgumu vai iepirkuma procedūras dokumentos noteiktajām prasībām.</w:t>
      </w:r>
    </w:p>
    <w:p w:rsidR="002D01FE" w:rsidRPr="002D01FE" w:rsidRDefault="002D01FE" w:rsidP="002D01FE">
      <w:pPr>
        <w:numPr>
          <w:ilvl w:val="0"/>
          <w:numId w:val="39"/>
        </w:numPr>
        <w:tabs>
          <w:tab w:val="left" w:pos="0"/>
        </w:tabs>
        <w:spacing w:before="120"/>
        <w:jc w:val="both"/>
        <w:rPr>
          <w:lang w:val="lv-LV" w:eastAsia="lv-LV"/>
        </w:rPr>
      </w:pPr>
      <w:r w:rsidRPr="002D01FE">
        <w:rPr>
          <w:lang w:val="lv-LV" w:eastAsia="lv-LV"/>
        </w:rPr>
        <w:t xml:space="preserve">Komisijas locekļi izskata saņemtos dokumentus un konstatē, ka attiecībā uz pretendentu  </w:t>
      </w:r>
      <w:r w:rsidRPr="002D01FE">
        <w:rPr>
          <w:lang w:val="lv-LV"/>
        </w:rPr>
        <w:t xml:space="preserve">SIA „Astrop Revision” </w:t>
      </w:r>
      <w:r w:rsidRPr="002D01FE">
        <w:rPr>
          <w:lang w:val="lv-LV" w:eastAsia="lv-LV"/>
        </w:rPr>
        <w:t xml:space="preserve">nepastāv Publisko iepirkumu likuma 9.panta astotajā daļā norādītie izslēgšanas nosacījumi. </w:t>
      </w:r>
    </w:p>
    <w:p w:rsidR="00B5548A" w:rsidRPr="002D01FE" w:rsidRDefault="002D01FE" w:rsidP="002D01FE">
      <w:pPr>
        <w:pStyle w:val="ListParagraph0"/>
        <w:numPr>
          <w:ilvl w:val="0"/>
          <w:numId w:val="39"/>
        </w:numPr>
        <w:spacing w:before="120" w:after="120"/>
        <w:contextualSpacing w:val="0"/>
        <w:jc w:val="both"/>
        <w:rPr>
          <w:lang w:val="lv-LV"/>
        </w:rPr>
      </w:pPr>
      <w:r w:rsidRPr="002D01FE">
        <w:rPr>
          <w:lang w:val="lv-LV"/>
        </w:rPr>
        <w:t xml:space="preserve">Līdz ar minēto Komisija konstatē, ka atbilstoši Iepirkuma nolikumā noteiktajam piedāvājuma izvēles kritērijam – </w:t>
      </w:r>
      <w:r w:rsidRPr="002D01FE">
        <w:rPr>
          <w:lang w:val="lv-LV" w:eastAsia="ar-SA"/>
        </w:rPr>
        <w:t xml:space="preserve">saimnieciski visizdevīgākais piedāvājums, vadoties pēc vērtēšanas kritērijiem „Piedāvātā līgumcena” un „Revīzijas procesa organizācija, kvalitāte un efektivitāte”, </w:t>
      </w:r>
      <w:r w:rsidRPr="002D01FE">
        <w:rPr>
          <w:lang w:val="lv-LV"/>
        </w:rPr>
        <w:t>pretendents SIA „Astrop Revision” atzīstams par uzvarētāju iepirkumā „</w:t>
      </w:r>
      <w:r w:rsidRPr="002D01FE">
        <w:rPr>
          <w:bCs/>
          <w:lang w:val="lv-LV"/>
        </w:rPr>
        <w:t>Revīzijas veikšana un zvērināta revidenta ziņojuma sniegšana par Daugavpils pilsētas pašvaldības 2017. un 2018.gada konsolidēto pārskatu”, identifikācijas numurs DPD 2017/121</w:t>
      </w:r>
      <w:r w:rsidRPr="002D01FE">
        <w:rPr>
          <w:lang w:val="lv-LV"/>
        </w:rPr>
        <w:t xml:space="preserve">. </w:t>
      </w:r>
    </w:p>
    <w:p w:rsidR="002D01FE" w:rsidRPr="002D01FE" w:rsidRDefault="00B5548A" w:rsidP="002D01FE">
      <w:pPr>
        <w:pStyle w:val="ListParagraph0"/>
        <w:numPr>
          <w:ilvl w:val="0"/>
          <w:numId w:val="39"/>
        </w:numPr>
        <w:spacing w:after="120"/>
        <w:jc w:val="both"/>
        <w:rPr>
          <w:lang w:val="lv-LV"/>
        </w:rPr>
      </w:pPr>
      <w:r w:rsidRPr="002D01FE">
        <w:rPr>
          <w:lang w:val="lv-LV"/>
        </w:rPr>
        <w:t xml:space="preserve"> </w:t>
      </w:r>
      <w:r w:rsidR="002D01FE" w:rsidRPr="002D01FE">
        <w:rPr>
          <w:lang w:val="lv-LV"/>
        </w:rPr>
        <w:t>Pamatojoties uz Publisko iepirkumu likuma 9.panta septīto un trīspadsmito daļu, Komisija nolemj:</w:t>
      </w:r>
    </w:p>
    <w:p w:rsidR="002D01FE" w:rsidRPr="002D01FE" w:rsidRDefault="002D01FE" w:rsidP="002D01FE">
      <w:pPr>
        <w:pStyle w:val="ListParagraph0"/>
        <w:numPr>
          <w:ilvl w:val="1"/>
          <w:numId w:val="39"/>
        </w:numPr>
        <w:spacing w:after="120"/>
        <w:jc w:val="both"/>
        <w:rPr>
          <w:lang w:val="lv-LV"/>
        </w:rPr>
      </w:pPr>
      <w:r w:rsidRPr="002D01FE">
        <w:rPr>
          <w:lang w:val="lv-LV"/>
        </w:rPr>
        <w:lastRenderedPageBreak/>
        <w:t xml:space="preserve">atzīt SIA „Astrop Revision”, </w:t>
      </w:r>
      <w:r w:rsidR="00D02AF1" w:rsidRPr="00D02AF1">
        <w:rPr>
          <w:bCs/>
          <w:lang w:val="lv-LV"/>
        </w:rPr>
        <w:t>reģ.Nr.</w:t>
      </w:r>
      <w:r w:rsidR="00D02AF1" w:rsidRPr="00D02AF1">
        <w:rPr>
          <w:shd w:val="clear" w:color="auto" w:fill="FFFFFF"/>
          <w:lang w:val="lv-LV"/>
        </w:rPr>
        <w:t xml:space="preserve"> 40003000892</w:t>
      </w:r>
      <w:r w:rsidR="00D02AF1" w:rsidRPr="00D02AF1">
        <w:rPr>
          <w:bCs/>
          <w:lang w:val="lv-LV"/>
        </w:rPr>
        <w:t>, juridiskā adrese: Aspazijas bulvāris 20, Rīga, LV-1050</w:t>
      </w:r>
      <w:bookmarkStart w:id="0" w:name="_GoBack"/>
      <w:bookmarkEnd w:id="0"/>
      <w:r w:rsidRPr="002D01FE">
        <w:rPr>
          <w:lang w:val="lv-LV"/>
        </w:rPr>
        <w:t>, par uzvarētāju iepirkumā „</w:t>
      </w:r>
      <w:r w:rsidRPr="002D01FE">
        <w:rPr>
          <w:bCs/>
          <w:lang w:val="lv-LV"/>
        </w:rPr>
        <w:t>Revīzijas veikšana un zvērināta revidenta ziņojuma sniegšana par Daugavpils pilsētas pašvaldības 2017. un 2018.gada konsolidēto pārskatu”, identifikācijas numurs DPD 2017/121</w:t>
      </w:r>
      <w:r w:rsidRPr="002D01FE">
        <w:rPr>
          <w:lang w:val="lv-LV"/>
        </w:rPr>
        <w:t>, un piešķirt līguma slēgšanas tiesības par summu EUR 38 000,00 bez pievienotās vērtības nodokļa;</w:t>
      </w:r>
    </w:p>
    <w:p w:rsidR="002D01FE" w:rsidRPr="002D01FE" w:rsidRDefault="002D01FE" w:rsidP="002D01FE">
      <w:pPr>
        <w:pStyle w:val="ListParagraph0"/>
        <w:numPr>
          <w:ilvl w:val="1"/>
          <w:numId w:val="39"/>
        </w:numPr>
        <w:spacing w:after="120"/>
        <w:jc w:val="both"/>
        <w:rPr>
          <w:lang w:val="lv-LV"/>
        </w:rPr>
      </w:pPr>
      <w:r w:rsidRPr="002D01FE">
        <w:rPr>
          <w:lang w:val="lv-LV"/>
        </w:rPr>
        <w:t>uzdot Komisijas loceklei I.Leikumai sagatavot rakstveida paziņojumu pretendentiem par iepirkuma rezultātiem;</w:t>
      </w:r>
    </w:p>
    <w:p w:rsidR="00B5548A" w:rsidRPr="002D01FE" w:rsidRDefault="002D01FE" w:rsidP="002D01FE">
      <w:pPr>
        <w:pStyle w:val="ListParagraph0"/>
        <w:numPr>
          <w:ilvl w:val="1"/>
          <w:numId w:val="39"/>
        </w:numPr>
        <w:spacing w:after="120"/>
        <w:contextualSpacing w:val="0"/>
        <w:jc w:val="both"/>
        <w:rPr>
          <w:lang w:val="lv-LV"/>
        </w:rPr>
      </w:pPr>
      <w:r w:rsidRPr="002D01FE">
        <w:rPr>
          <w:lang w:val="lv-LV"/>
        </w:rPr>
        <w:t>normatīvajos aktos noteiktajā kārtībā un termiņā iesniegt publicēšanai Iepirkumu uzraudzības biroja mājas lapā www.iub.gov.lv paziņojumu par noslēgto līgumu un publicēt Daugavpils pilsētas domes mājas lapā www.daugavpils.lv šo lēmumu un līguma tekstu</w:t>
      </w:r>
    </w:p>
    <w:p w:rsidR="002D600A" w:rsidRPr="002D01FE" w:rsidRDefault="002D600A" w:rsidP="002D600A">
      <w:pPr>
        <w:pStyle w:val="BodyTextIndent"/>
        <w:spacing w:before="120" w:after="80"/>
        <w:ind w:firstLine="357"/>
        <w:rPr>
          <w:sz w:val="24"/>
        </w:rPr>
      </w:pPr>
      <w:r w:rsidRPr="002D01FE">
        <w:rPr>
          <w:i/>
          <w:iCs/>
          <w:sz w:val="24"/>
        </w:rPr>
        <w:t>Balsojums: 4 balsis “par”, “pret” – nav</w:t>
      </w:r>
      <w:r w:rsidR="009E0335" w:rsidRPr="002D01FE">
        <w:rPr>
          <w:i/>
          <w:iCs/>
          <w:sz w:val="24"/>
        </w:rPr>
        <w:t>.</w:t>
      </w:r>
    </w:p>
    <w:p w:rsidR="007144A4" w:rsidRPr="002D01FE" w:rsidRDefault="007144A4" w:rsidP="007144A4">
      <w:pPr>
        <w:pStyle w:val="BodyTextIndent"/>
        <w:tabs>
          <w:tab w:val="left" w:pos="0"/>
        </w:tabs>
        <w:spacing w:after="120"/>
        <w:ind w:left="360" w:firstLine="0"/>
        <w:rPr>
          <w:sz w:val="24"/>
        </w:rPr>
      </w:pPr>
      <w:r w:rsidRPr="002D01FE">
        <w:rPr>
          <w:sz w:val="24"/>
        </w:rPr>
        <w:t>SĒDE BEIDZAS plkst. 1</w:t>
      </w:r>
      <w:r w:rsidR="00E0161B" w:rsidRPr="002D01FE">
        <w:rPr>
          <w:sz w:val="24"/>
        </w:rPr>
        <w:t>6</w:t>
      </w:r>
      <w:r w:rsidRPr="002D01FE">
        <w:rPr>
          <w:sz w:val="24"/>
        </w:rPr>
        <w:t>:</w:t>
      </w:r>
      <w:r w:rsidR="008B3BF5" w:rsidRPr="002D01FE">
        <w:rPr>
          <w:sz w:val="24"/>
        </w:rPr>
        <w:t>5</w:t>
      </w:r>
      <w:r w:rsidR="00E0161B" w:rsidRPr="002D01FE">
        <w:rPr>
          <w:sz w:val="24"/>
        </w:rPr>
        <w:t>5</w:t>
      </w:r>
      <w:r w:rsidRPr="002D01FE">
        <w:rPr>
          <w:sz w:val="24"/>
        </w:rPr>
        <w:t>.</w:t>
      </w:r>
    </w:p>
    <w:p w:rsidR="007144A4" w:rsidRPr="002D01FE" w:rsidRDefault="007144A4" w:rsidP="00831E73">
      <w:pPr>
        <w:spacing w:before="360" w:after="240"/>
        <w:ind w:left="11"/>
        <w:rPr>
          <w:lang w:val="lv-LV"/>
        </w:rPr>
      </w:pPr>
      <w:r w:rsidRPr="002D01FE">
        <w:rPr>
          <w:lang w:val="lv-LV"/>
        </w:rPr>
        <w:t>Komisijas priekšsēdētāja</w:t>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t>J.Kornutjaka</w:t>
      </w:r>
    </w:p>
    <w:p w:rsidR="007144A4" w:rsidRPr="002D01FE" w:rsidRDefault="007144A4" w:rsidP="00831E73">
      <w:pPr>
        <w:spacing w:before="360" w:after="240"/>
        <w:ind w:left="11"/>
        <w:rPr>
          <w:lang w:val="lv-LV"/>
        </w:rPr>
      </w:pPr>
      <w:r w:rsidRPr="002D01FE">
        <w:rPr>
          <w:lang w:val="lv-LV"/>
        </w:rPr>
        <w:t>Komisijas locekļi</w:t>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t>I.Leikuma</w:t>
      </w:r>
    </w:p>
    <w:p w:rsidR="007144A4" w:rsidRPr="002D01FE" w:rsidRDefault="007144A4" w:rsidP="00831E73">
      <w:pPr>
        <w:spacing w:before="360" w:after="240"/>
        <w:rPr>
          <w:lang w:val="lv-LV"/>
        </w:rPr>
      </w:pP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r>
      <w:r w:rsidRPr="002D01FE">
        <w:rPr>
          <w:lang w:val="lv-LV"/>
        </w:rPr>
        <w:tab/>
        <w:t>I.Zarāne</w:t>
      </w:r>
    </w:p>
    <w:p w:rsidR="007144A4" w:rsidRPr="002D01FE" w:rsidRDefault="00831E73" w:rsidP="00831E73">
      <w:pPr>
        <w:spacing w:before="360" w:after="240"/>
        <w:ind w:left="7200" w:firstLine="720"/>
        <w:rPr>
          <w:lang w:val="lv-LV"/>
        </w:rPr>
      </w:pPr>
      <w:r w:rsidRPr="002D01FE">
        <w:rPr>
          <w:lang w:val="lv-LV"/>
        </w:rPr>
        <w:t>E.Ugarinko</w:t>
      </w:r>
    </w:p>
    <w:p w:rsidR="00BF52F7" w:rsidRPr="008931DE" w:rsidRDefault="00BF52F7" w:rsidP="0019625D">
      <w:pPr>
        <w:rPr>
          <w:sz w:val="23"/>
          <w:szCs w:val="23"/>
          <w:lang w:val="lv-LV"/>
        </w:rPr>
      </w:pPr>
    </w:p>
    <w:sectPr w:rsidR="00BF52F7" w:rsidRPr="008931DE" w:rsidSect="006037A9">
      <w:footerReference w:type="default" r:id="rId10"/>
      <w:footerReference w:type="first" r:id="rId11"/>
      <w:pgSz w:w="11906" w:h="16838"/>
      <w:pgMar w:top="1134" w:right="851"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0A1" w:rsidRDefault="00EE40A1">
      <w:pPr>
        <w:pStyle w:val="BodyText2"/>
      </w:pPr>
      <w:r>
        <w:separator/>
      </w:r>
    </w:p>
  </w:endnote>
  <w:endnote w:type="continuationSeparator" w:id="0">
    <w:p w:rsidR="00EE40A1" w:rsidRDefault="00EE40A1">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901527"/>
      <w:docPartObj>
        <w:docPartGallery w:val="Page Numbers (Bottom of Page)"/>
        <w:docPartUnique/>
      </w:docPartObj>
    </w:sdtPr>
    <w:sdtEndPr>
      <w:rPr>
        <w:noProof/>
      </w:rPr>
    </w:sdtEndPr>
    <w:sdtContent>
      <w:p w:rsidR="006037A9" w:rsidRDefault="006037A9">
        <w:pPr>
          <w:pStyle w:val="Footer"/>
          <w:jc w:val="center"/>
        </w:pPr>
        <w:r>
          <w:fldChar w:fldCharType="begin"/>
        </w:r>
        <w:r>
          <w:instrText xml:space="preserve"> PAGE   \* MERGEFORMAT </w:instrText>
        </w:r>
        <w:r>
          <w:fldChar w:fldCharType="separate"/>
        </w:r>
        <w:r w:rsidR="00D02AF1">
          <w:rPr>
            <w:noProof/>
          </w:rPr>
          <w:t>4</w:t>
        </w:r>
        <w:r>
          <w:rPr>
            <w:noProof/>
          </w:rPr>
          <w:fldChar w:fldCharType="end"/>
        </w:r>
      </w:p>
    </w:sdtContent>
  </w:sdt>
  <w:p w:rsidR="006037A9" w:rsidRDefault="00603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EB" w:rsidRDefault="00195DEB">
    <w:pPr>
      <w:pStyle w:val="Footer"/>
      <w:jc w:val="center"/>
    </w:pPr>
  </w:p>
  <w:p w:rsidR="00195DEB" w:rsidRDefault="0019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0A1" w:rsidRDefault="00EE40A1">
      <w:pPr>
        <w:pStyle w:val="BodyText2"/>
      </w:pPr>
      <w:r>
        <w:separator/>
      </w:r>
    </w:p>
  </w:footnote>
  <w:footnote w:type="continuationSeparator" w:id="0">
    <w:p w:rsidR="00EE40A1" w:rsidRDefault="00EE40A1">
      <w:pPr>
        <w:pStyle w:val="BodyText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7C2947"/>
    <w:multiLevelType w:val="multilevel"/>
    <w:tmpl w:val="86F6113E"/>
    <w:lvl w:ilvl="0">
      <w:start w:val="10"/>
      <w:numFmt w:val="decimal"/>
      <w:lvlText w:val="%1."/>
      <w:lvlJc w:val="left"/>
      <w:pPr>
        <w:ind w:left="600" w:hanging="600"/>
      </w:pPr>
      <w:rPr>
        <w:rFonts w:hint="default"/>
        <w:color w:val="auto"/>
        <w:sz w:val="23"/>
      </w:rPr>
    </w:lvl>
    <w:lvl w:ilvl="1">
      <w:start w:val="10"/>
      <w:numFmt w:val="decimal"/>
      <w:lvlText w:val="%1.%2."/>
      <w:lvlJc w:val="left"/>
      <w:pPr>
        <w:ind w:left="600" w:hanging="60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6">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7">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D50D86"/>
    <w:multiLevelType w:val="multilevel"/>
    <w:tmpl w:val="0E88F966"/>
    <w:lvl w:ilvl="0">
      <w:start w:val="10"/>
      <w:numFmt w:val="decimal"/>
      <w:lvlText w:val="%1"/>
      <w:lvlJc w:val="left"/>
      <w:pPr>
        <w:ind w:left="420" w:hanging="420"/>
      </w:pPr>
      <w:rPr>
        <w:rFonts w:hint="default"/>
      </w:rPr>
    </w:lvl>
    <w:lvl w:ilvl="1">
      <w:start w:val="7"/>
      <w:numFmt w:val="decimal"/>
      <w:lvlText w:val="%1.%2"/>
      <w:lvlJc w:val="left"/>
      <w:pPr>
        <w:ind w:left="819" w:hanging="42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25D7285"/>
    <w:multiLevelType w:val="multilevel"/>
    <w:tmpl w:val="716A656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5">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3AAA4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5">
    <w:nsid w:val="423D5516"/>
    <w:multiLevelType w:val="multilevel"/>
    <w:tmpl w:val="C89C8D20"/>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7">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EB94BBD"/>
    <w:multiLevelType w:val="multilevel"/>
    <w:tmpl w:val="8ACC312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1800" w:hanging="720"/>
      </w:pPr>
      <w:rPr>
        <w:rFonts w:hint="default"/>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0">
    <w:nsid w:val="52D86265"/>
    <w:multiLevelType w:val="hybridMultilevel"/>
    <w:tmpl w:val="FBC08B24"/>
    <w:lvl w:ilvl="0" w:tplc="DEDC420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2">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3">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5">
    <w:nsid w:val="62CE3B4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7">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773746DA"/>
    <w:multiLevelType w:val="multilevel"/>
    <w:tmpl w:val="F6162EA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4"/>
  </w:num>
  <w:num w:numId="3">
    <w:abstractNumId w:val="26"/>
  </w:num>
  <w:num w:numId="4">
    <w:abstractNumId w:val="0"/>
  </w:num>
  <w:num w:numId="5">
    <w:abstractNumId w:val="24"/>
  </w:num>
  <w:num w:numId="6">
    <w:abstractNumId w:val="20"/>
  </w:num>
  <w:num w:numId="7">
    <w:abstractNumId w:val="42"/>
  </w:num>
  <w:num w:numId="8">
    <w:abstractNumId w:val="2"/>
  </w:num>
  <w:num w:numId="9">
    <w:abstractNumId w:val="21"/>
  </w:num>
  <w:num w:numId="10">
    <w:abstractNumId w:val="37"/>
  </w:num>
  <w:num w:numId="11">
    <w:abstractNumId w:val="44"/>
  </w:num>
  <w:num w:numId="12">
    <w:abstractNumId w:val="18"/>
  </w:num>
  <w:num w:numId="13">
    <w:abstractNumId w:val="14"/>
  </w:num>
  <w:num w:numId="14">
    <w:abstractNumId w:val="33"/>
  </w:num>
  <w:num w:numId="15">
    <w:abstractNumId w:val="4"/>
  </w:num>
  <w:num w:numId="16">
    <w:abstractNumId w:val="36"/>
  </w:num>
  <w:num w:numId="17">
    <w:abstractNumId w:val="43"/>
  </w:num>
  <w:num w:numId="18">
    <w:abstractNumId w:val="23"/>
  </w:num>
  <w:num w:numId="19">
    <w:abstractNumId w:val="7"/>
  </w:num>
  <w:num w:numId="2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2"/>
  </w:num>
  <w:num w:numId="26">
    <w:abstractNumId w:val="22"/>
  </w:num>
  <w:num w:numId="27">
    <w:abstractNumId w:val="15"/>
  </w:num>
  <w:num w:numId="28">
    <w:abstractNumId w:val="17"/>
  </w:num>
  <w:num w:numId="29">
    <w:abstractNumId w:val="40"/>
  </w:num>
  <w:num w:numId="30">
    <w:abstractNumId w:val="28"/>
  </w:num>
  <w:num w:numId="31">
    <w:abstractNumId w:val="3"/>
  </w:num>
  <w:num w:numId="32">
    <w:abstractNumId w:val="6"/>
  </w:num>
  <w:num w:numId="33">
    <w:abstractNumId w:val="39"/>
  </w:num>
  <w:num w:numId="34">
    <w:abstractNumId w:val="9"/>
  </w:num>
  <w:num w:numId="35">
    <w:abstractNumId w:val="11"/>
  </w:num>
  <w:num w:numId="36">
    <w:abstractNumId w:val="41"/>
  </w:num>
  <w:num w:numId="37">
    <w:abstractNumId w:val="25"/>
  </w:num>
  <w:num w:numId="38">
    <w:abstractNumId w:val="5"/>
  </w:num>
  <w:num w:numId="39">
    <w:abstractNumId w:val="8"/>
  </w:num>
  <w:num w:numId="40">
    <w:abstractNumId w:val="32"/>
  </w:num>
  <w:num w:numId="41">
    <w:abstractNumId w:val="30"/>
  </w:num>
  <w:num w:numId="42">
    <w:abstractNumId w:val="19"/>
  </w:num>
  <w:num w:numId="43">
    <w:abstractNumId w:val="38"/>
  </w:num>
  <w:num w:numId="44">
    <w:abstractNumId w:val="35"/>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1A44"/>
    <w:rsid w:val="000050C4"/>
    <w:rsid w:val="00010DFC"/>
    <w:rsid w:val="00010F92"/>
    <w:rsid w:val="0001486D"/>
    <w:rsid w:val="00026E44"/>
    <w:rsid w:val="00033850"/>
    <w:rsid w:val="0004395E"/>
    <w:rsid w:val="000574E2"/>
    <w:rsid w:val="000605BA"/>
    <w:rsid w:val="000609C0"/>
    <w:rsid w:val="00066812"/>
    <w:rsid w:val="00072099"/>
    <w:rsid w:val="000756E3"/>
    <w:rsid w:val="00075859"/>
    <w:rsid w:val="000772C2"/>
    <w:rsid w:val="00085AE3"/>
    <w:rsid w:val="00086D8F"/>
    <w:rsid w:val="000902D3"/>
    <w:rsid w:val="0009060C"/>
    <w:rsid w:val="0009142D"/>
    <w:rsid w:val="00093AC8"/>
    <w:rsid w:val="000944AF"/>
    <w:rsid w:val="00097430"/>
    <w:rsid w:val="000A52ED"/>
    <w:rsid w:val="000A5EAC"/>
    <w:rsid w:val="000A70E1"/>
    <w:rsid w:val="000B2307"/>
    <w:rsid w:val="000B2841"/>
    <w:rsid w:val="000B397A"/>
    <w:rsid w:val="000B53CE"/>
    <w:rsid w:val="000C51FC"/>
    <w:rsid w:val="000D2130"/>
    <w:rsid w:val="000D2FDC"/>
    <w:rsid w:val="000D4A4F"/>
    <w:rsid w:val="000D4BCB"/>
    <w:rsid w:val="000D5948"/>
    <w:rsid w:val="000E05A7"/>
    <w:rsid w:val="000E63C2"/>
    <w:rsid w:val="000F1660"/>
    <w:rsid w:val="00104FF2"/>
    <w:rsid w:val="00111A84"/>
    <w:rsid w:val="00125E1A"/>
    <w:rsid w:val="00140673"/>
    <w:rsid w:val="00143BFA"/>
    <w:rsid w:val="00144FD6"/>
    <w:rsid w:val="001459B4"/>
    <w:rsid w:val="001473A7"/>
    <w:rsid w:val="001505CD"/>
    <w:rsid w:val="00160B74"/>
    <w:rsid w:val="00164B6B"/>
    <w:rsid w:val="00166EB5"/>
    <w:rsid w:val="00171DD4"/>
    <w:rsid w:val="001746DA"/>
    <w:rsid w:val="001753E8"/>
    <w:rsid w:val="001804A1"/>
    <w:rsid w:val="00191784"/>
    <w:rsid w:val="00195DEB"/>
    <w:rsid w:val="0019625D"/>
    <w:rsid w:val="001A19D8"/>
    <w:rsid w:val="001A735C"/>
    <w:rsid w:val="001B04C3"/>
    <w:rsid w:val="001B0657"/>
    <w:rsid w:val="001B2636"/>
    <w:rsid w:val="001B3FCA"/>
    <w:rsid w:val="001B6614"/>
    <w:rsid w:val="001D498A"/>
    <w:rsid w:val="001D56A6"/>
    <w:rsid w:val="001E24AC"/>
    <w:rsid w:val="001E5E4D"/>
    <w:rsid w:val="00205B32"/>
    <w:rsid w:val="00210C4B"/>
    <w:rsid w:val="002136FB"/>
    <w:rsid w:val="00224E36"/>
    <w:rsid w:val="00230DAA"/>
    <w:rsid w:val="0023172A"/>
    <w:rsid w:val="00231D91"/>
    <w:rsid w:val="002370F0"/>
    <w:rsid w:val="00240F06"/>
    <w:rsid w:val="00241A1E"/>
    <w:rsid w:val="00251EC0"/>
    <w:rsid w:val="00256880"/>
    <w:rsid w:val="002629A0"/>
    <w:rsid w:val="002651E6"/>
    <w:rsid w:val="0027049A"/>
    <w:rsid w:val="00271595"/>
    <w:rsid w:val="00272054"/>
    <w:rsid w:val="0027225F"/>
    <w:rsid w:val="0027381C"/>
    <w:rsid w:val="002743D9"/>
    <w:rsid w:val="002754C8"/>
    <w:rsid w:val="00280ACB"/>
    <w:rsid w:val="0028619D"/>
    <w:rsid w:val="00287475"/>
    <w:rsid w:val="00294D47"/>
    <w:rsid w:val="002A0E40"/>
    <w:rsid w:val="002A2AEE"/>
    <w:rsid w:val="002A3EA6"/>
    <w:rsid w:val="002A5494"/>
    <w:rsid w:val="002A6DA8"/>
    <w:rsid w:val="002B520F"/>
    <w:rsid w:val="002C4781"/>
    <w:rsid w:val="002C47A1"/>
    <w:rsid w:val="002C5C3C"/>
    <w:rsid w:val="002D01FE"/>
    <w:rsid w:val="002D600A"/>
    <w:rsid w:val="002D7DA3"/>
    <w:rsid w:val="002E0F72"/>
    <w:rsid w:val="002E5E93"/>
    <w:rsid w:val="002F4711"/>
    <w:rsid w:val="002F5C4D"/>
    <w:rsid w:val="00324E4B"/>
    <w:rsid w:val="0032559B"/>
    <w:rsid w:val="003340F6"/>
    <w:rsid w:val="00342C01"/>
    <w:rsid w:val="003613A1"/>
    <w:rsid w:val="00362B67"/>
    <w:rsid w:val="00366FF5"/>
    <w:rsid w:val="003671BA"/>
    <w:rsid w:val="00371069"/>
    <w:rsid w:val="00371268"/>
    <w:rsid w:val="003769C7"/>
    <w:rsid w:val="003A2E7B"/>
    <w:rsid w:val="003B4260"/>
    <w:rsid w:val="003B5A73"/>
    <w:rsid w:val="003B6031"/>
    <w:rsid w:val="00402507"/>
    <w:rsid w:val="0040705E"/>
    <w:rsid w:val="00414C66"/>
    <w:rsid w:val="00416FBB"/>
    <w:rsid w:val="00421008"/>
    <w:rsid w:val="004245CD"/>
    <w:rsid w:val="00431EA5"/>
    <w:rsid w:val="00434503"/>
    <w:rsid w:val="00444A21"/>
    <w:rsid w:val="0044786B"/>
    <w:rsid w:val="0045071A"/>
    <w:rsid w:val="00455B1E"/>
    <w:rsid w:val="00457A36"/>
    <w:rsid w:val="00462646"/>
    <w:rsid w:val="004751EC"/>
    <w:rsid w:val="004841A4"/>
    <w:rsid w:val="00493F66"/>
    <w:rsid w:val="0049590B"/>
    <w:rsid w:val="004A50F7"/>
    <w:rsid w:val="004C0F1C"/>
    <w:rsid w:val="004C34D7"/>
    <w:rsid w:val="004C598D"/>
    <w:rsid w:val="004C5E62"/>
    <w:rsid w:val="004C7EFC"/>
    <w:rsid w:val="004D06FF"/>
    <w:rsid w:val="004D110D"/>
    <w:rsid w:val="004F2E53"/>
    <w:rsid w:val="004F4053"/>
    <w:rsid w:val="004F45F4"/>
    <w:rsid w:val="004F5DAF"/>
    <w:rsid w:val="00510CBC"/>
    <w:rsid w:val="0051141C"/>
    <w:rsid w:val="0051401E"/>
    <w:rsid w:val="005269D0"/>
    <w:rsid w:val="00526BD8"/>
    <w:rsid w:val="00531A16"/>
    <w:rsid w:val="00553A6B"/>
    <w:rsid w:val="00555037"/>
    <w:rsid w:val="00560C11"/>
    <w:rsid w:val="005624BC"/>
    <w:rsid w:val="00566922"/>
    <w:rsid w:val="005674A0"/>
    <w:rsid w:val="00567890"/>
    <w:rsid w:val="00571F9B"/>
    <w:rsid w:val="005863D6"/>
    <w:rsid w:val="00592105"/>
    <w:rsid w:val="005A286D"/>
    <w:rsid w:val="005A6314"/>
    <w:rsid w:val="005B6CD1"/>
    <w:rsid w:val="005B7055"/>
    <w:rsid w:val="005C23E9"/>
    <w:rsid w:val="005C5625"/>
    <w:rsid w:val="005D2E06"/>
    <w:rsid w:val="005D3EC9"/>
    <w:rsid w:val="005E30CF"/>
    <w:rsid w:val="005E3754"/>
    <w:rsid w:val="00602B0D"/>
    <w:rsid w:val="00602E21"/>
    <w:rsid w:val="006037A9"/>
    <w:rsid w:val="0060415D"/>
    <w:rsid w:val="00614C74"/>
    <w:rsid w:val="0061525E"/>
    <w:rsid w:val="00621F5C"/>
    <w:rsid w:val="00643030"/>
    <w:rsid w:val="0064616E"/>
    <w:rsid w:val="006474B6"/>
    <w:rsid w:val="0065235B"/>
    <w:rsid w:val="00663EBD"/>
    <w:rsid w:val="00666D12"/>
    <w:rsid w:val="006736B6"/>
    <w:rsid w:val="00680875"/>
    <w:rsid w:val="00681883"/>
    <w:rsid w:val="00685259"/>
    <w:rsid w:val="00685B61"/>
    <w:rsid w:val="0069619F"/>
    <w:rsid w:val="006A28AF"/>
    <w:rsid w:val="006A35BD"/>
    <w:rsid w:val="006A4C7C"/>
    <w:rsid w:val="006B2047"/>
    <w:rsid w:val="006B4E82"/>
    <w:rsid w:val="006B5DCF"/>
    <w:rsid w:val="006B7C5B"/>
    <w:rsid w:val="006C0328"/>
    <w:rsid w:val="006C5455"/>
    <w:rsid w:val="006D068A"/>
    <w:rsid w:val="006D34D0"/>
    <w:rsid w:val="006E2A10"/>
    <w:rsid w:val="006E3A68"/>
    <w:rsid w:val="006F57DE"/>
    <w:rsid w:val="00700BCD"/>
    <w:rsid w:val="00702753"/>
    <w:rsid w:val="00704B16"/>
    <w:rsid w:val="00705081"/>
    <w:rsid w:val="00707463"/>
    <w:rsid w:val="00710B91"/>
    <w:rsid w:val="0071165E"/>
    <w:rsid w:val="007144A4"/>
    <w:rsid w:val="00714CD3"/>
    <w:rsid w:val="007221DD"/>
    <w:rsid w:val="00730CBC"/>
    <w:rsid w:val="0073712C"/>
    <w:rsid w:val="00741F5A"/>
    <w:rsid w:val="007512FB"/>
    <w:rsid w:val="007545FF"/>
    <w:rsid w:val="00760C0F"/>
    <w:rsid w:val="00761B1F"/>
    <w:rsid w:val="007708D8"/>
    <w:rsid w:val="007719F3"/>
    <w:rsid w:val="00772FD4"/>
    <w:rsid w:val="00776069"/>
    <w:rsid w:val="007800A8"/>
    <w:rsid w:val="007846FB"/>
    <w:rsid w:val="0079498A"/>
    <w:rsid w:val="00795795"/>
    <w:rsid w:val="00796781"/>
    <w:rsid w:val="00797242"/>
    <w:rsid w:val="00797A46"/>
    <w:rsid w:val="007A2F85"/>
    <w:rsid w:val="007A7B0F"/>
    <w:rsid w:val="007C464C"/>
    <w:rsid w:val="007C56D0"/>
    <w:rsid w:val="007D27CA"/>
    <w:rsid w:val="007D3DD2"/>
    <w:rsid w:val="007D5461"/>
    <w:rsid w:val="007D7C65"/>
    <w:rsid w:val="007E0199"/>
    <w:rsid w:val="007F192B"/>
    <w:rsid w:val="007F3715"/>
    <w:rsid w:val="0080742F"/>
    <w:rsid w:val="00810682"/>
    <w:rsid w:val="00817870"/>
    <w:rsid w:val="008217D0"/>
    <w:rsid w:val="008255C2"/>
    <w:rsid w:val="008306A5"/>
    <w:rsid w:val="00830E4E"/>
    <w:rsid w:val="00831E73"/>
    <w:rsid w:val="00837CBB"/>
    <w:rsid w:val="008475A8"/>
    <w:rsid w:val="00847D37"/>
    <w:rsid w:val="0085038E"/>
    <w:rsid w:val="00863513"/>
    <w:rsid w:val="00864C3D"/>
    <w:rsid w:val="00865AB8"/>
    <w:rsid w:val="008704BC"/>
    <w:rsid w:val="00870620"/>
    <w:rsid w:val="008774A4"/>
    <w:rsid w:val="00877C62"/>
    <w:rsid w:val="00881B23"/>
    <w:rsid w:val="00885857"/>
    <w:rsid w:val="00891E00"/>
    <w:rsid w:val="008920BC"/>
    <w:rsid w:val="008931DE"/>
    <w:rsid w:val="008A12E4"/>
    <w:rsid w:val="008A4468"/>
    <w:rsid w:val="008B14D1"/>
    <w:rsid w:val="008B2611"/>
    <w:rsid w:val="008B3BF5"/>
    <w:rsid w:val="008B6DAC"/>
    <w:rsid w:val="008B72C3"/>
    <w:rsid w:val="008C32DA"/>
    <w:rsid w:val="008D350A"/>
    <w:rsid w:val="008D79EF"/>
    <w:rsid w:val="008E0EC4"/>
    <w:rsid w:val="008F057C"/>
    <w:rsid w:val="008F23EC"/>
    <w:rsid w:val="009021C7"/>
    <w:rsid w:val="00904ED0"/>
    <w:rsid w:val="009067FD"/>
    <w:rsid w:val="00912A4F"/>
    <w:rsid w:val="009140E6"/>
    <w:rsid w:val="00914DC9"/>
    <w:rsid w:val="0091716F"/>
    <w:rsid w:val="00922802"/>
    <w:rsid w:val="00924309"/>
    <w:rsid w:val="00927063"/>
    <w:rsid w:val="00944A81"/>
    <w:rsid w:val="0096144F"/>
    <w:rsid w:val="00962601"/>
    <w:rsid w:val="00970AE4"/>
    <w:rsid w:val="00974936"/>
    <w:rsid w:val="009749E7"/>
    <w:rsid w:val="00976540"/>
    <w:rsid w:val="009874C1"/>
    <w:rsid w:val="009879EA"/>
    <w:rsid w:val="00987C5A"/>
    <w:rsid w:val="00987FED"/>
    <w:rsid w:val="00990AAF"/>
    <w:rsid w:val="00995200"/>
    <w:rsid w:val="009A2A34"/>
    <w:rsid w:val="009C2D68"/>
    <w:rsid w:val="009C7C6C"/>
    <w:rsid w:val="009E0335"/>
    <w:rsid w:val="009E4E35"/>
    <w:rsid w:val="009F210C"/>
    <w:rsid w:val="009F747E"/>
    <w:rsid w:val="00A138FE"/>
    <w:rsid w:val="00A22BE4"/>
    <w:rsid w:val="00A256B7"/>
    <w:rsid w:val="00A26829"/>
    <w:rsid w:val="00A539D5"/>
    <w:rsid w:val="00A549BD"/>
    <w:rsid w:val="00A568FD"/>
    <w:rsid w:val="00A57915"/>
    <w:rsid w:val="00A72D9A"/>
    <w:rsid w:val="00A74751"/>
    <w:rsid w:val="00A75F0D"/>
    <w:rsid w:val="00A762B9"/>
    <w:rsid w:val="00A810F8"/>
    <w:rsid w:val="00A81988"/>
    <w:rsid w:val="00A91375"/>
    <w:rsid w:val="00A93D87"/>
    <w:rsid w:val="00AB3B9E"/>
    <w:rsid w:val="00AB5702"/>
    <w:rsid w:val="00AD0072"/>
    <w:rsid w:val="00AD0154"/>
    <w:rsid w:val="00AD2B21"/>
    <w:rsid w:val="00AF1D06"/>
    <w:rsid w:val="00AF7989"/>
    <w:rsid w:val="00B015AA"/>
    <w:rsid w:val="00B062DE"/>
    <w:rsid w:val="00B105A4"/>
    <w:rsid w:val="00B16BB6"/>
    <w:rsid w:val="00B24FEC"/>
    <w:rsid w:val="00B3284F"/>
    <w:rsid w:val="00B4157E"/>
    <w:rsid w:val="00B42ECD"/>
    <w:rsid w:val="00B44174"/>
    <w:rsid w:val="00B452D2"/>
    <w:rsid w:val="00B5548A"/>
    <w:rsid w:val="00B73D8E"/>
    <w:rsid w:val="00B817FD"/>
    <w:rsid w:val="00B82C17"/>
    <w:rsid w:val="00B85D7B"/>
    <w:rsid w:val="00B90311"/>
    <w:rsid w:val="00B95D0F"/>
    <w:rsid w:val="00B971B8"/>
    <w:rsid w:val="00BA1467"/>
    <w:rsid w:val="00BA1ABA"/>
    <w:rsid w:val="00BA2AAC"/>
    <w:rsid w:val="00BA68F8"/>
    <w:rsid w:val="00BC74DF"/>
    <w:rsid w:val="00BD1F9E"/>
    <w:rsid w:val="00BD3F1B"/>
    <w:rsid w:val="00BD4336"/>
    <w:rsid w:val="00BD707C"/>
    <w:rsid w:val="00BE22DE"/>
    <w:rsid w:val="00BF0275"/>
    <w:rsid w:val="00BF1C2D"/>
    <w:rsid w:val="00BF52F7"/>
    <w:rsid w:val="00BF6CB5"/>
    <w:rsid w:val="00C036F3"/>
    <w:rsid w:val="00C038EF"/>
    <w:rsid w:val="00C03CFD"/>
    <w:rsid w:val="00C065B2"/>
    <w:rsid w:val="00C074F7"/>
    <w:rsid w:val="00C14953"/>
    <w:rsid w:val="00C27EBB"/>
    <w:rsid w:val="00C37EE5"/>
    <w:rsid w:val="00C41043"/>
    <w:rsid w:val="00C52D71"/>
    <w:rsid w:val="00C60EF5"/>
    <w:rsid w:val="00C62A0C"/>
    <w:rsid w:val="00C713A1"/>
    <w:rsid w:val="00C72445"/>
    <w:rsid w:val="00C728C1"/>
    <w:rsid w:val="00C73DD1"/>
    <w:rsid w:val="00C8217E"/>
    <w:rsid w:val="00C868CC"/>
    <w:rsid w:val="00C87650"/>
    <w:rsid w:val="00C91BEF"/>
    <w:rsid w:val="00CA1197"/>
    <w:rsid w:val="00CA2085"/>
    <w:rsid w:val="00CA4085"/>
    <w:rsid w:val="00CA5BEF"/>
    <w:rsid w:val="00CB3365"/>
    <w:rsid w:val="00CB658A"/>
    <w:rsid w:val="00CC2BF0"/>
    <w:rsid w:val="00CC3FD5"/>
    <w:rsid w:val="00CC799C"/>
    <w:rsid w:val="00CD02E0"/>
    <w:rsid w:val="00CD0F12"/>
    <w:rsid w:val="00CD735D"/>
    <w:rsid w:val="00CE672B"/>
    <w:rsid w:val="00CF0AD1"/>
    <w:rsid w:val="00CF3985"/>
    <w:rsid w:val="00CF7588"/>
    <w:rsid w:val="00D02AF1"/>
    <w:rsid w:val="00D047A5"/>
    <w:rsid w:val="00D102D8"/>
    <w:rsid w:val="00D17760"/>
    <w:rsid w:val="00D17C08"/>
    <w:rsid w:val="00D31F86"/>
    <w:rsid w:val="00D32DBE"/>
    <w:rsid w:val="00D3302F"/>
    <w:rsid w:val="00D352C0"/>
    <w:rsid w:val="00D42CF0"/>
    <w:rsid w:val="00D47AB9"/>
    <w:rsid w:val="00D5111A"/>
    <w:rsid w:val="00D53309"/>
    <w:rsid w:val="00D5444A"/>
    <w:rsid w:val="00D54907"/>
    <w:rsid w:val="00D602F7"/>
    <w:rsid w:val="00D62342"/>
    <w:rsid w:val="00D70D89"/>
    <w:rsid w:val="00D76699"/>
    <w:rsid w:val="00D7683A"/>
    <w:rsid w:val="00D87E57"/>
    <w:rsid w:val="00D9118F"/>
    <w:rsid w:val="00DA17CE"/>
    <w:rsid w:val="00DB404F"/>
    <w:rsid w:val="00DC16D8"/>
    <w:rsid w:val="00DD686F"/>
    <w:rsid w:val="00DD6FCE"/>
    <w:rsid w:val="00DE0F5A"/>
    <w:rsid w:val="00DF0011"/>
    <w:rsid w:val="00E00BC9"/>
    <w:rsid w:val="00E0161B"/>
    <w:rsid w:val="00E03BE1"/>
    <w:rsid w:val="00E0530A"/>
    <w:rsid w:val="00E062A3"/>
    <w:rsid w:val="00E07171"/>
    <w:rsid w:val="00E204C8"/>
    <w:rsid w:val="00E21739"/>
    <w:rsid w:val="00E257CD"/>
    <w:rsid w:val="00E447CB"/>
    <w:rsid w:val="00E475B3"/>
    <w:rsid w:val="00E56149"/>
    <w:rsid w:val="00E704B3"/>
    <w:rsid w:val="00E733A7"/>
    <w:rsid w:val="00E8104C"/>
    <w:rsid w:val="00E83E63"/>
    <w:rsid w:val="00E854FF"/>
    <w:rsid w:val="00E8793B"/>
    <w:rsid w:val="00E9329F"/>
    <w:rsid w:val="00E94BEA"/>
    <w:rsid w:val="00EA073B"/>
    <w:rsid w:val="00EA28BB"/>
    <w:rsid w:val="00EB0375"/>
    <w:rsid w:val="00EB0434"/>
    <w:rsid w:val="00EB60A4"/>
    <w:rsid w:val="00EC7C4B"/>
    <w:rsid w:val="00ED0563"/>
    <w:rsid w:val="00ED2F59"/>
    <w:rsid w:val="00EE2E0F"/>
    <w:rsid w:val="00EE40A1"/>
    <w:rsid w:val="00EE6165"/>
    <w:rsid w:val="00EF103F"/>
    <w:rsid w:val="00F00075"/>
    <w:rsid w:val="00F01A6E"/>
    <w:rsid w:val="00F1001E"/>
    <w:rsid w:val="00F102B5"/>
    <w:rsid w:val="00F11057"/>
    <w:rsid w:val="00F162B5"/>
    <w:rsid w:val="00F168D6"/>
    <w:rsid w:val="00F208CE"/>
    <w:rsid w:val="00F21625"/>
    <w:rsid w:val="00F2376B"/>
    <w:rsid w:val="00F25D0C"/>
    <w:rsid w:val="00F25FD7"/>
    <w:rsid w:val="00F3113A"/>
    <w:rsid w:val="00F33BA7"/>
    <w:rsid w:val="00F433E7"/>
    <w:rsid w:val="00F434E7"/>
    <w:rsid w:val="00F44168"/>
    <w:rsid w:val="00F45B5B"/>
    <w:rsid w:val="00F46354"/>
    <w:rsid w:val="00F46F63"/>
    <w:rsid w:val="00F561B3"/>
    <w:rsid w:val="00F61D90"/>
    <w:rsid w:val="00F6478E"/>
    <w:rsid w:val="00F66B8A"/>
    <w:rsid w:val="00F72384"/>
    <w:rsid w:val="00F748E4"/>
    <w:rsid w:val="00F764C2"/>
    <w:rsid w:val="00F7692E"/>
    <w:rsid w:val="00F76F3C"/>
    <w:rsid w:val="00F84635"/>
    <w:rsid w:val="00FA0C47"/>
    <w:rsid w:val="00FA1711"/>
    <w:rsid w:val="00FA563C"/>
    <w:rsid w:val="00FA7DBA"/>
    <w:rsid w:val="00FC113E"/>
    <w:rsid w:val="00FC3A8B"/>
    <w:rsid w:val="00FC6B14"/>
    <w:rsid w:val="00FD1B1C"/>
    <w:rsid w:val="00FD26B5"/>
    <w:rsid w:val="00FD298C"/>
    <w:rsid w:val="00FD3489"/>
    <w:rsid w:val="00FD7156"/>
    <w:rsid w:val="00FF0A01"/>
    <w:rsid w:val="00FF7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paragraph" w:styleId="FootnoteText">
    <w:name w:val="footnote text"/>
    <w:basedOn w:val="Normal"/>
    <w:link w:val="FootnoteTextChar"/>
    <w:uiPriority w:val="99"/>
    <w:rsid w:val="009E0335"/>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9E0335"/>
    <w:rPr>
      <w:lang w:eastAsia="ar-SA"/>
    </w:rPr>
  </w:style>
  <w:style w:type="character" w:styleId="FootnoteReference">
    <w:name w:val="footnote reference"/>
    <w:aliases w:val="Footnote symbol"/>
    <w:uiPriority w:val="99"/>
    <w:rsid w:val="009E0335"/>
    <w:rPr>
      <w:vertAlign w:val="superscript"/>
    </w:rPr>
  </w:style>
  <w:style w:type="character" w:styleId="CommentReference">
    <w:name w:val="annotation reference"/>
    <w:basedOn w:val="DefaultParagraphFont"/>
    <w:semiHidden/>
    <w:unhideWhenUsed/>
    <w:rsid w:val="0071165E"/>
    <w:rPr>
      <w:sz w:val="16"/>
      <w:szCs w:val="16"/>
    </w:rPr>
  </w:style>
  <w:style w:type="character" w:styleId="FollowedHyperlink">
    <w:name w:val="FollowedHyperlink"/>
    <w:basedOn w:val="DefaultParagraphFont"/>
    <w:semiHidden/>
    <w:unhideWhenUsed/>
    <w:rsid w:val="00094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paragraph" w:styleId="FootnoteText">
    <w:name w:val="footnote text"/>
    <w:basedOn w:val="Normal"/>
    <w:link w:val="FootnoteTextChar"/>
    <w:uiPriority w:val="99"/>
    <w:rsid w:val="009E0335"/>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9E0335"/>
    <w:rPr>
      <w:lang w:eastAsia="ar-SA"/>
    </w:rPr>
  </w:style>
  <w:style w:type="character" w:styleId="FootnoteReference">
    <w:name w:val="footnote reference"/>
    <w:aliases w:val="Footnote symbol"/>
    <w:uiPriority w:val="99"/>
    <w:rsid w:val="009E0335"/>
    <w:rPr>
      <w:vertAlign w:val="superscript"/>
    </w:rPr>
  </w:style>
  <w:style w:type="character" w:styleId="CommentReference">
    <w:name w:val="annotation reference"/>
    <w:basedOn w:val="DefaultParagraphFont"/>
    <w:semiHidden/>
    <w:unhideWhenUsed/>
    <w:rsid w:val="0071165E"/>
    <w:rPr>
      <w:sz w:val="16"/>
      <w:szCs w:val="16"/>
    </w:rPr>
  </w:style>
  <w:style w:type="character" w:styleId="FollowedHyperlink">
    <w:name w:val="FollowedHyperlink"/>
    <w:basedOn w:val="DefaultParagraphFont"/>
    <w:semiHidden/>
    <w:unhideWhenUsed/>
    <w:rsid w:val="00094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968">
      <w:bodyDiv w:val="1"/>
      <w:marLeft w:val="0"/>
      <w:marRight w:val="0"/>
      <w:marTop w:val="0"/>
      <w:marBottom w:val="0"/>
      <w:divBdr>
        <w:top w:val="none" w:sz="0" w:space="0" w:color="auto"/>
        <w:left w:val="none" w:sz="0" w:space="0" w:color="auto"/>
        <w:bottom w:val="none" w:sz="0" w:space="0" w:color="auto"/>
        <w:right w:val="none" w:sz="0" w:space="0" w:color="auto"/>
      </w:divBdr>
    </w:div>
    <w:div w:id="203760481">
      <w:bodyDiv w:val="1"/>
      <w:marLeft w:val="0"/>
      <w:marRight w:val="0"/>
      <w:marTop w:val="0"/>
      <w:marBottom w:val="0"/>
      <w:divBdr>
        <w:top w:val="none" w:sz="0" w:space="0" w:color="auto"/>
        <w:left w:val="none" w:sz="0" w:space="0" w:color="auto"/>
        <w:bottom w:val="none" w:sz="0" w:space="0" w:color="auto"/>
        <w:right w:val="none" w:sz="0" w:space="0" w:color="auto"/>
      </w:divBdr>
    </w:div>
    <w:div w:id="919798583">
      <w:bodyDiv w:val="1"/>
      <w:marLeft w:val="0"/>
      <w:marRight w:val="0"/>
      <w:marTop w:val="0"/>
      <w:marBottom w:val="0"/>
      <w:divBdr>
        <w:top w:val="none" w:sz="0" w:space="0" w:color="auto"/>
        <w:left w:val="none" w:sz="0" w:space="0" w:color="auto"/>
        <w:bottom w:val="none" w:sz="0" w:space="0" w:color="auto"/>
        <w:right w:val="none" w:sz="0" w:space="0" w:color="auto"/>
      </w:divBdr>
    </w:div>
    <w:div w:id="979074585">
      <w:bodyDiv w:val="1"/>
      <w:marLeft w:val="0"/>
      <w:marRight w:val="0"/>
      <w:marTop w:val="0"/>
      <w:marBottom w:val="0"/>
      <w:divBdr>
        <w:top w:val="none" w:sz="0" w:space="0" w:color="auto"/>
        <w:left w:val="none" w:sz="0" w:space="0" w:color="auto"/>
        <w:bottom w:val="none" w:sz="0" w:space="0" w:color="auto"/>
        <w:right w:val="none" w:sz="0" w:space="0" w:color="auto"/>
      </w:divBdr>
    </w:div>
    <w:div w:id="1127577724">
      <w:bodyDiv w:val="1"/>
      <w:marLeft w:val="0"/>
      <w:marRight w:val="0"/>
      <w:marTop w:val="0"/>
      <w:marBottom w:val="0"/>
      <w:divBdr>
        <w:top w:val="none" w:sz="0" w:space="0" w:color="auto"/>
        <w:left w:val="none" w:sz="0" w:space="0" w:color="auto"/>
        <w:bottom w:val="none" w:sz="0" w:space="0" w:color="auto"/>
        <w:right w:val="none" w:sz="0" w:space="0" w:color="auto"/>
      </w:divBdr>
      <w:divsChild>
        <w:div w:id="1065763599">
          <w:marLeft w:val="0"/>
          <w:marRight w:val="0"/>
          <w:marTop w:val="0"/>
          <w:marBottom w:val="0"/>
          <w:divBdr>
            <w:top w:val="none" w:sz="0" w:space="0" w:color="auto"/>
            <w:left w:val="none" w:sz="0" w:space="0" w:color="auto"/>
            <w:bottom w:val="none" w:sz="0" w:space="0" w:color="auto"/>
            <w:right w:val="none" w:sz="0" w:space="0" w:color="auto"/>
          </w:divBdr>
          <w:divsChild>
            <w:div w:id="346173742">
              <w:marLeft w:val="-225"/>
              <w:marRight w:val="-225"/>
              <w:marTop w:val="0"/>
              <w:marBottom w:val="0"/>
              <w:divBdr>
                <w:top w:val="none" w:sz="0" w:space="0" w:color="auto"/>
                <w:left w:val="none" w:sz="0" w:space="0" w:color="auto"/>
                <w:bottom w:val="none" w:sz="0" w:space="0" w:color="auto"/>
                <w:right w:val="none" w:sz="0" w:space="0" w:color="auto"/>
              </w:divBdr>
              <w:divsChild>
                <w:div w:id="1765223865">
                  <w:marLeft w:val="0"/>
                  <w:marRight w:val="0"/>
                  <w:marTop w:val="0"/>
                  <w:marBottom w:val="0"/>
                  <w:divBdr>
                    <w:top w:val="none" w:sz="0" w:space="0" w:color="auto"/>
                    <w:left w:val="none" w:sz="0" w:space="0" w:color="auto"/>
                    <w:bottom w:val="none" w:sz="0" w:space="0" w:color="auto"/>
                    <w:right w:val="none" w:sz="0" w:space="0" w:color="auto"/>
                  </w:divBdr>
                  <w:divsChild>
                    <w:div w:id="1663117201">
                      <w:marLeft w:val="0"/>
                      <w:marRight w:val="0"/>
                      <w:marTop w:val="0"/>
                      <w:marBottom w:val="0"/>
                      <w:divBdr>
                        <w:top w:val="none" w:sz="0" w:space="0" w:color="auto"/>
                        <w:left w:val="none" w:sz="0" w:space="0" w:color="auto"/>
                        <w:bottom w:val="none" w:sz="0" w:space="0" w:color="auto"/>
                        <w:right w:val="none" w:sz="0" w:space="0" w:color="auto"/>
                      </w:divBdr>
                      <w:divsChild>
                        <w:div w:id="1305887144">
                          <w:marLeft w:val="0"/>
                          <w:marRight w:val="0"/>
                          <w:marTop w:val="0"/>
                          <w:marBottom w:val="0"/>
                          <w:divBdr>
                            <w:top w:val="none" w:sz="0" w:space="0" w:color="auto"/>
                            <w:left w:val="none" w:sz="0" w:space="0" w:color="auto"/>
                            <w:bottom w:val="none" w:sz="0" w:space="0" w:color="auto"/>
                            <w:right w:val="none" w:sz="0" w:space="0" w:color="auto"/>
                          </w:divBdr>
                          <w:divsChild>
                            <w:div w:id="2025476018">
                              <w:marLeft w:val="-225"/>
                              <w:marRight w:val="-225"/>
                              <w:marTop w:val="0"/>
                              <w:marBottom w:val="0"/>
                              <w:divBdr>
                                <w:top w:val="none" w:sz="0" w:space="0" w:color="auto"/>
                                <w:left w:val="none" w:sz="0" w:space="0" w:color="auto"/>
                                <w:bottom w:val="none" w:sz="0" w:space="0" w:color="auto"/>
                                <w:right w:val="none" w:sz="0" w:space="0" w:color="auto"/>
                              </w:divBdr>
                              <w:divsChild>
                                <w:div w:id="1399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85911">
      <w:bodyDiv w:val="1"/>
      <w:marLeft w:val="0"/>
      <w:marRight w:val="0"/>
      <w:marTop w:val="0"/>
      <w:marBottom w:val="0"/>
      <w:divBdr>
        <w:top w:val="none" w:sz="0" w:space="0" w:color="auto"/>
        <w:left w:val="none" w:sz="0" w:space="0" w:color="auto"/>
        <w:bottom w:val="none" w:sz="0" w:space="0" w:color="auto"/>
        <w:right w:val="none" w:sz="0" w:space="0" w:color="auto"/>
      </w:divBdr>
    </w:div>
    <w:div w:id="1467165066">
      <w:bodyDiv w:val="1"/>
      <w:marLeft w:val="0"/>
      <w:marRight w:val="0"/>
      <w:marTop w:val="0"/>
      <w:marBottom w:val="0"/>
      <w:divBdr>
        <w:top w:val="none" w:sz="0" w:space="0" w:color="auto"/>
        <w:left w:val="none" w:sz="0" w:space="0" w:color="auto"/>
        <w:bottom w:val="none" w:sz="0" w:space="0" w:color="auto"/>
        <w:right w:val="none" w:sz="0" w:space="0" w:color="auto"/>
      </w:divBdr>
    </w:div>
    <w:div w:id="1630168690">
      <w:bodyDiv w:val="1"/>
      <w:marLeft w:val="0"/>
      <w:marRight w:val="0"/>
      <w:marTop w:val="0"/>
      <w:marBottom w:val="0"/>
      <w:divBdr>
        <w:top w:val="none" w:sz="0" w:space="0" w:color="auto"/>
        <w:left w:val="none" w:sz="0" w:space="0" w:color="auto"/>
        <w:bottom w:val="none" w:sz="0" w:space="0" w:color="auto"/>
        <w:right w:val="none" w:sz="0" w:space="0" w:color="auto"/>
      </w:divBdr>
      <w:divsChild>
        <w:div w:id="1725176439">
          <w:marLeft w:val="0"/>
          <w:marRight w:val="0"/>
          <w:marTop w:val="0"/>
          <w:marBottom w:val="0"/>
          <w:divBdr>
            <w:top w:val="none" w:sz="0" w:space="0" w:color="auto"/>
            <w:left w:val="none" w:sz="0" w:space="0" w:color="auto"/>
            <w:bottom w:val="none" w:sz="0" w:space="0" w:color="auto"/>
            <w:right w:val="none" w:sz="0" w:space="0" w:color="auto"/>
          </w:divBdr>
          <w:divsChild>
            <w:div w:id="580797748">
              <w:marLeft w:val="-225"/>
              <w:marRight w:val="-225"/>
              <w:marTop w:val="0"/>
              <w:marBottom w:val="0"/>
              <w:divBdr>
                <w:top w:val="none" w:sz="0" w:space="0" w:color="auto"/>
                <w:left w:val="none" w:sz="0" w:space="0" w:color="auto"/>
                <w:bottom w:val="none" w:sz="0" w:space="0" w:color="auto"/>
                <w:right w:val="none" w:sz="0" w:space="0" w:color="auto"/>
              </w:divBdr>
              <w:divsChild>
                <w:div w:id="230821536">
                  <w:marLeft w:val="0"/>
                  <w:marRight w:val="0"/>
                  <w:marTop w:val="0"/>
                  <w:marBottom w:val="0"/>
                  <w:divBdr>
                    <w:top w:val="none" w:sz="0" w:space="0" w:color="auto"/>
                    <w:left w:val="none" w:sz="0" w:space="0" w:color="auto"/>
                    <w:bottom w:val="none" w:sz="0" w:space="0" w:color="auto"/>
                    <w:right w:val="none" w:sz="0" w:space="0" w:color="auto"/>
                  </w:divBdr>
                  <w:divsChild>
                    <w:div w:id="1619674884">
                      <w:marLeft w:val="0"/>
                      <w:marRight w:val="0"/>
                      <w:marTop w:val="0"/>
                      <w:marBottom w:val="0"/>
                      <w:divBdr>
                        <w:top w:val="none" w:sz="0" w:space="0" w:color="auto"/>
                        <w:left w:val="none" w:sz="0" w:space="0" w:color="auto"/>
                        <w:bottom w:val="none" w:sz="0" w:space="0" w:color="auto"/>
                        <w:right w:val="none" w:sz="0" w:space="0" w:color="auto"/>
                      </w:divBdr>
                      <w:divsChild>
                        <w:div w:id="969357028">
                          <w:marLeft w:val="0"/>
                          <w:marRight w:val="0"/>
                          <w:marTop w:val="0"/>
                          <w:marBottom w:val="0"/>
                          <w:divBdr>
                            <w:top w:val="none" w:sz="0" w:space="0" w:color="auto"/>
                            <w:left w:val="none" w:sz="0" w:space="0" w:color="auto"/>
                            <w:bottom w:val="none" w:sz="0" w:space="0" w:color="auto"/>
                            <w:right w:val="none" w:sz="0" w:space="0" w:color="auto"/>
                          </w:divBdr>
                          <w:divsChild>
                            <w:div w:id="465515796">
                              <w:marLeft w:val="-225"/>
                              <w:marRight w:val="-225"/>
                              <w:marTop w:val="0"/>
                              <w:marBottom w:val="0"/>
                              <w:divBdr>
                                <w:top w:val="none" w:sz="0" w:space="0" w:color="auto"/>
                                <w:left w:val="none" w:sz="0" w:space="0" w:color="auto"/>
                                <w:bottom w:val="none" w:sz="0" w:space="0" w:color="auto"/>
                                <w:right w:val="none" w:sz="0" w:space="0" w:color="auto"/>
                              </w:divBdr>
                              <w:divsChild>
                                <w:div w:id="1902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6459">
      <w:bodyDiv w:val="1"/>
      <w:marLeft w:val="0"/>
      <w:marRight w:val="0"/>
      <w:marTop w:val="0"/>
      <w:marBottom w:val="0"/>
      <w:divBdr>
        <w:top w:val="none" w:sz="0" w:space="0" w:color="auto"/>
        <w:left w:val="none" w:sz="0" w:space="0" w:color="auto"/>
        <w:bottom w:val="none" w:sz="0" w:space="0" w:color="auto"/>
        <w:right w:val="none" w:sz="0" w:space="0" w:color="auto"/>
      </w:divBdr>
    </w:div>
    <w:div w:id="1753626747">
      <w:bodyDiv w:val="1"/>
      <w:marLeft w:val="0"/>
      <w:marRight w:val="0"/>
      <w:marTop w:val="0"/>
      <w:marBottom w:val="0"/>
      <w:divBdr>
        <w:top w:val="none" w:sz="0" w:space="0" w:color="auto"/>
        <w:left w:val="none" w:sz="0" w:space="0" w:color="auto"/>
        <w:bottom w:val="none" w:sz="0" w:space="0" w:color="auto"/>
        <w:right w:val="none" w:sz="0" w:space="0" w:color="auto"/>
      </w:divBdr>
    </w:div>
    <w:div w:id="18038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C84C-01F2-4DF7-8CAE-14739863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dagnija</dc:creator>
  <cp:lastModifiedBy>Ilga Leikuma</cp:lastModifiedBy>
  <cp:revision>2</cp:revision>
  <cp:lastPrinted>2017-09-29T06:49:00Z</cp:lastPrinted>
  <dcterms:created xsi:type="dcterms:W3CDTF">2017-09-29T06:51:00Z</dcterms:created>
  <dcterms:modified xsi:type="dcterms:W3CDTF">2017-09-29T06:51:00Z</dcterms:modified>
</cp:coreProperties>
</file>