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9477A49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9A56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77D8CE6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A5675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A28CB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062E8C1B" w:rsidR="003F348F" w:rsidRPr="001F67A9" w:rsidRDefault="006B5007" w:rsidP="00866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86672C" w:rsidRPr="00866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Fasādes cokola daļas remontdarbi ēkai Podnieku ielā 1,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C28FBD3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66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80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597B0043" w:rsidR="00A541FE" w:rsidRPr="00AA141C" w:rsidRDefault="0086672C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1B48BF37" w:rsidR="007251BA" w:rsidRDefault="0086672C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pilsētas 4.pirmsskolas izglītības iestāde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18BD0BEE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86672C">
              <w:t xml:space="preserve"> </w:t>
            </w:r>
            <w:r w:rsidR="0086672C"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2701903402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77813ADF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86672C">
              <w:t xml:space="preserve"> </w:t>
            </w:r>
            <w:r w:rsidR="0086672C"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Podnieku iela 1, Daugavpils, LV-5400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604D335E" w:rsidR="00A541FE" w:rsidRPr="001F67A9" w:rsidRDefault="0086672C" w:rsidP="001A28CB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86672C">
              <w:rPr>
                <w:bCs/>
                <w:sz w:val="24"/>
              </w:rPr>
              <w:t>Fasādes cokola daļas remontdarbi ēkai Podnieku ielā 1,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914B117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4ADE566" w14:textId="2BBFFD06" w:rsidR="001A28CB" w:rsidRPr="001A28CB" w:rsidRDefault="001A28CB" w:rsidP="001A28CB">
            <w:pPr>
              <w:pStyle w:val="Sarakstarindkopa"/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86672C"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BŪVREMONTS</w:t>
            </w:r>
            <w:r w:rsidRPr="0074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86672C">
              <w:t xml:space="preserve"> </w:t>
            </w:r>
            <w:r w:rsidR="0086672C"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40003214470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6672C"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Raiņa iela 20, 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Daugavpils, </w:t>
            </w:r>
            <w:r w:rsidR="0086672C"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1617.21</w:t>
            </w:r>
            <w:r w:rsidRPr="0074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seši simti septiņpadsmit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PVN;</w:t>
            </w:r>
          </w:p>
          <w:p w14:paraId="2871CEEC" w14:textId="0C8FAFFC" w:rsidR="00577ADF" w:rsidRPr="006B1013" w:rsidRDefault="0086672C" w:rsidP="001A28CB">
            <w:pPr>
              <w:pStyle w:val="Sarakstarindkopa"/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 Arhitektu iela 18 - 40, Daugavpils, LV-5410</w:t>
            </w:r>
            <w:r w:rsidR="00C51CF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2000.00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divi tūkstoši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A28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B2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66D72D27" w:rsidR="00202EE1" w:rsidRPr="002E05E7" w:rsidRDefault="00D37CA9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“DAUGAVPILS BŪVREMONTS”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996F8F"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“AMERGA”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0120FB1A" w:rsidR="000239B3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“DAUGAVPILS BŪVREMONTS”</w:t>
            </w:r>
            <w:r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40003214470, juridiskā adrese: Raiņa iela 20,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5FEB14C" w14:textId="77777777" w:rsidR="00D37CA9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7434A277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37CA9" w:rsidRPr="00D37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1617.21 EUR</w:t>
            </w:r>
            <w:r w:rsidR="00D37CA9"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seši simti septiņpadsmit </w:t>
            </w:r>
            <w:proofErr w:type="spellStart"/>
            <w:r w:rsidR="00D37CA9"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D37CA9" w:rsidRPr="00D37C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21 cents) </w:t>
            </w:r>
            <w:r w:rsidR="0050726F" w:rsidRP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F0805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102AE2"/>
    <w:rsid w:val="001104A4"/>
    <w:rsid w:val="0013714A"/>
    <w:rsid w:val="00137621"/>
    <w:rsid w:val="001421AD"/>
    <w:rsid w:val="001473ED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75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54</cp:revision>
  <cp:lastPrinted>2024-08-29T08:05:00Z</cp:lastPrinted>
  <dcterms:created xsi:type="dcterms:W3CDTF">2024-06-20T10:37:00Z</dcterms:created>
  <dcterms:modified xsi:type="dcterms:W3CDTF">2024-09-26T13:35:00Z</dcterms:modified>
</cp:coreProperties>
</file>