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bookmarkStart w:id="0" w:name="_GoBack"/>
      <w:bookmarkEnd w:id="0"/>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2D004B15" w:rsidR="002D549E" w:rsidRDefault="002D549E" w:rsidP="002D549E">
      <w:pPr>
        <w:jc w:val="right"/>
        <w:rPr>
          <w:i/>
          <w:color w:val="414142"/>
          <w:sz w:val="20"/>
          <w:szCs w:val="20"/>
          <w:shd w:val="clear" w:color="auto" w:fill="FFFFFF"/>
        </w:rPr>
      </w:pPr>
      <w:r w:rsidRPr="00026FC4">
        <w:rPr>
          <w:sz w:val="20"/>
        </w:rPr>
        <w:t>iepirkuma "</w:t>
      </w:r>
      <w:r w:rsidR="00B15BF6">
        <w:rPr>
          <w:i/>
          <w:color w:val="414142"/>
          <w:sz w:val="20"/>
          <w:szCs w:val="20"/>
          <w:shd w:val="clear" w:color="auto" w:fill="FFFFFF"/>
        </w:rPr>
        <w:t>Santehniķa</w:t>
      </w:r>
      <w:r w:rsidRPr="00085DED">
        <w:rPr>
          <w:i/>
          <w:color w:val="414142"/>
          <w:sz w:val="20"/>
          <w:szCs w:val="20"/>
          <w:shd w:val="clear" w:color="auto" w:fill="FFFFFF"/>
        </w:rPr>
        <w:t xml:space="preserve">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4A736321"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w:t>
      </w:r>
      <w:r w:rsidR="00B15BF6">
        <w:rPr>
          <w:rFonts w:eastAsia="Calibri"/>
          <w:sz w:val="20"/>
          <w:szCs w:val="20"/>
          <w:lang w:eastAsia="en-US"/>
        </w:rPr>
        <w:t>4</w:t>
      </w:r>
      <w:r w:rsidR="00A6100B">
        <w:rPr>
          <w:rFonts w:eastAsia="Calibri"/>
          <w:sz w:val="20"/>
          <w:szCs w:val="20"/>
          <w:lang w:eastAsia="en-US"/>
        </w:rPr>
        <w:t>8</w:t>
      </w:r>
      <w:r>
        <w:rPr>
          <w:rFonts w:eastAsia="Calibri"/>
          <w:sz w:val="20"/>
          <w:szCs w:val="20"/>
          <w:lang w:eastAsia="en-US"/>
        </w:rPr>
        <w:t>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6E0C54E" w:rsidR="00371212" w:rsidRPr="004201DF" w:rsidRDefault="00B15BF6" w:rsidP="008E0D87">
      <w:pPr>
        <w:spacing w:after="120"/>
        <w:jc w:val="center"/>
        <w:rPr>
          <w:b/>
          <w:i/>
          <w:iCs/>
          <w:color w:val="000000"/>
          <w:sz w:val="22"/>
          <w:szCs w:val="22"/>
        </w:rPr>
      </w:pPr>
      <w:r>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15EDF6C5"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B15BF6">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B15BF6">
        <w:rPr>
          <w:sz w:val="22"/>
          <w:szCs w:val="22"/>
        </w:rPr>
        <w:t>4</w:t>
      </w:r>
      <w:r w:rsidR="00A6100B">
        <w:rPr>
          <w:sz w:val="22"/>
          <w:szCs w:val="22"/>
        </w:rPr>
        <w:t>8</w:t>
      </w:r>
      <w:r w:rsidR="00F774E3">
        <w:rPr>
          <w:sz w:val="22"/>
          <w:szCs w:val="22"/>
        </w:rPr>
        <w:t>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6C698FFB"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B15BF6">
        <w:rPr>
          <w:i/>
          <w:iCs/>
          <w:sz w:val="22"/>
          <w:szCs w:val="22"/>
        </w:rPr>
        <w:t>santehniķa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C6774B" w:rsidRPr="004201DF">
        <w:rPr>
          <w:sz w:val="22"/>
          <w:szCs w:val="22"/>
        </w:rPr>
        <w:t>___________</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5EA7D8EE" w14:textId="2B9A33E7" w:rsidR="00371212" w:rsidRPr="00290BB9" w:rsidRDefault="00B15BF6" w:rsidP="00BD57F9">
      <w:pPr>
        <w:pStyle w:val="Sarakstarindkopa"/>
        <w:numPr>
          <w:ilvl w:val="1"/>
          <w:numId w:val="14"/>
        </w:numPr>
        <w:spacing w:after="40"/>
        <w:ind w:left="567" w:hanging="567"/>
        <w:jc w:val="both"/>
        <w:rPr>
          <w:sz w:val="22"/>
          <w:szCs w:val="22"/>
        </w:rPr>
      </w:pPr>
      <w:r>
        <w:rPr>
          <w:sz w:val="22"/>
          <w:szCs w:val="22"/>
        </w:rPr>
        <w:t xml:space="preserve">Rezerves daļas/materiālus IZPILDĪTĀJS iegādājas pie PASŪTĪTĀJA norādītajiem piegādātājiem, saskaņā ar noslēgtajiem līgumiem. </w:t>
      </w:r>
      <w:r w:rsidR="00371212" w:rsidRPr="004201DF">
        <w:rPr>
          <w:sz w:val="22"/>
          <w:szCs w:val="22"/>
        </w:rPr>
        <w:t>Rezerves daļu/materiālu izmaksas netiek iekļautas PAKALPOJUMA</w:t>
      </w:r>
      <w:r w:rsidR="00C6774B" w:rsidRPr="004201DF">
        <w:rPr>
          <w:sz w:val="22"/>
          <w:szCs w:val="22"/>
        </w:rPr>
        <w:t xml:space="preserve"> </w:t>
      </w:r>
      <w:r w:rsidR="00371212" w:rsidRPr="004201DF">
        <w:rPr>
          <w:sz w:val="22"/>
          <w:szCs w:val="22"/>
        </w:rPr>
        <w:t xml:space="preserve">izmaksās, tās sedz PASŪTĪTĀJS, </w:t>
      </w:r>
      <w:r w:rsidR="000655F2" w:rsidRPr="004201DF">
        <w:rPr>
          <w:sz w:val="22"/>
          <w:szCs w:val="22"/>
        </w:rPr>
        <w:t xml:space="preserve">kuru iegādi IZPILDĪTĀJAM </w:t>
      </w:r>
      <w:r w:rsidR="00371212" w:rsidRPr="004201DF">
        <w:rPr>
          <w:sz w:val="22"/>
          <w:szCs w:val="22"/>
        </w:rPr>
        <w:t xml:space="preserve">iepriekš </w:t>
      </w:r>
      <w:r w:rsidR="000655F2" w:rsidRPr="004201DF">
        <w:rPr>
          <w:sz w:val="22"/>
          <w:szCs w:val="22"/>
        </w:rPr>
        <w:t>jā</w:t>
      </w:r>
      <w:r w:rsidR="00371212" w:rsidRPr="004201DF">
        <w:rPr>
          <w:sz w:val="22"/>
          <w:szCs w:val="22"/>
        </w:rPr>
        <w:t>saskaņo ar PAS</w:t>
      </w:r>
      <w:r w:rsidR="00371212" w:rsidRPr="00290BB9">
        <w:rPr>
          <w:sz w:val="22"/>
          <w:szCs w:val="22"/>
        </w:rPr>
        <w:t>ŪTĪTĀJU.</w:t>
      </w:r>
    </w:p>
    <w:p w14:paraId="152ED506" w14:textId="0407EE38"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lastRenderedPageBreak/>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77777777"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nodrošina tehniskā personāla ierašanos izsaukuma vietā un bojājuma novēršanas uzsākšanu ne vēlāk kā ___ (________) _______ laikā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03F5CB60"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w:t>
      </w:r>
      <w:r w:rsidR="00E67213">
        <w:rPr>
          <w:sz w:val="22"/>
          <w:szCs w:val="22"/>
        </w:rPr>
        <w:t>, rezerves daļu</w:t>
      </w:r>
      <w:r w:rsidRPr="003C107B">
        <w:rPr>
          <w:sz w:val="22"/>
          <w:szCs w:val="22"/>
        </w:rPr>
        <w:t xml:space="preserve"> un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A54D1D">
      <w:pPr>
        <w:pStyle w:val="Sarakstarindkopa"/>
        <w:numPr>
          <w:ilvl w:val="0"/>
          <w:numId w:val="14"/>
        </w:numPr>
        <w:contextualSpacing/>
        <w:jc w:val="both"/>
        <w:rPr>
          <w:vanish/>
          <w:sz w:val="22"/>
          <w:szCs w:val="22"/>
        </w:rPr>
      </w:pPr>
    </w:p>
    <w:p w14:paraId="43088871" w14:textId="0AAB4455" w:rsidR="00371212" w:rsidRPr="0074226B" w:rsidRDefault="00371212" w:rsidP="00A54D1D">
      <w:pPr>
        <w:pStyle w:val="Sarakstarindkopa"/>
        <w:numPr>
          <w:ilvl w:val="1"/>
          <w:numId w:val="14"/>
        </w:numPr>
        <w:ind w:left="567"/>
        <w:contextualSpacing/>
        <w:jc w:val="both"/>
        <w:rPr>
          <w:sz w:val="22"/>
          <w:szCs w:val="22"/>
        </w:rPr>
      </w:pPr>
      <w:r w:rsidRPr="0074226B">
        <w:rPr>
          <w:sz w:val="22"/>
          <w:szCs w:val="22"/>
        </w:rPr>
        <w:t xml:space="preserve">PASŪTĪTĀJS </w:t>
      </w:r>
      <w:r w:rsidRPr="00A54D1D">
        <w:rPr>
          <w:bCs/>
          <w:sz w:val="22"/>
          <w:szCs w:val="22"/>
        </w:rPr>
        <w:t>bez tehniskajā specifikācijā</w:t>
      </w:r>
      <w:r w:rsidR="003E16D1">
        <w:rPr>
          <w:sz w:val="22"/>
          <w:szCs w:val="22"/>
        </w:rPr>
        <w:t xml:space="preserve"> (</w:t>
      </w:r>
      <w:r w:rsidR="003E16D1" w:rsidRPr="0055027F">
        <w:rPr>
          <w:sz w:val="22"/>
          <w:szCs w:val="22"/>
        </w:rPr>
        <w:t>Pielikums Nr.</w:t>
      </w:r>
      <w:r w:rsidR="0055027F" w:rsidRPr="0055027F">
        <w:rPr>
          <w:sz w:val="22"/>
          <w:szCs w:val="22"/>
        </w:rPr>
        <w:t>2</w:t>
      </w:r>
      <w:r w:rsidR="003E16D1" w:rsidRPr="0055027F">
        <w:rPr>
          <w:sz w:val="22"/>
          <w:szCs w:val="22"/>
        </w:rPr>
        <w:t>)</w:t>
      </w:r>
      <w:r w:rsidRPr="0055027F">
        <w:rPr>
          <w:sz w:val="22"/>
          <w:szCs w:val="22"/>
        </w:rPr>
        <w:t xml:space="preserve"> minētajiem</w:t>
      </w:r>
      <w:r w:rsidRPr="0074226B">
        <w:rPr>
          <w:sz w:val="22"/>
          <w:szCs w:val="22"/>
        </w:rPr>
        <w:t xml:space="preserve"> </w:t>
      </w:r>
      <w:r w:rsidR="003C107B">
        <w:rPr>
          <w:sz w:val="22"/>
          <w:szCs w:val="22"/>
        </w:rPr>
        <w:t>PAKALPOJUMIEM</w:t>
      </w:r>
      <w:r w:rsidRPr="0074226B">
        <w:rPr>
          <w:sz w:val="22"/>
          <w:szCs w:val="22"/>
        </w:rPr>
        <w:t xml:space="preserve"> var uzdot IZPILDĪTĀJAM veikt papildus </w:t>
      </w:r>
      <w:r w:rsidR="00E67213">
        <w:rPr>
          <w:bCs/>
          <w:sz w:val="22"/>
          <w:szCs w:val="22"/>
        </w:rPr>
        <w:t>santehniķa</w:t>
      </w:r>
      <w:r w:rsidRPr="0074226B">
        <w:rPr>
          <w:bCs/>
          <w:sz w:val="22"/>
          <w:szCs w:val="22"/>
        </w:rPr>
        <w:t xml:space="preserve"> </w:t>
      </w:r>
      <w:r w:rsidRPr="0074226B">
        <w:rPr>
          <w:sz w:val="22"/>
          <w:szCs w:val="22"/>
        </w:rPr>
        <w:t xml:space="preserve">pakalpojumus, kuriem nav iespējams noteikt nepieciešamību uz iepirkuma rīkošanas brīdi. Tehniskajā specifikācijā neiekļauto pozīciju apjoms nepārsniegs 10% no iepirkuma apjoma un tiks </w:t>
      </w:r>
      <w:r w:rsidRPr="00020F40">
        <w:rPr>
          <w:sz w:val="22"/>
          <w:szCs w:val="22"/>
          <w:lang w:val="x-none"/>
        </w:rPr>
        <w:t>ieskaitīts</w:t>
      </w:r>
      <w:r w:rsidRPr="0074226B">
        <w:rPr>
          <w:sz w:val="22"/>
          <w:szCs w:val="22"/>
        </w:rPr>
        <w:t xml:space="preserve"> kopējā Līguma summā.</w:t>
      </w:r>
    </w:p>
    <w:p w14:paraId="39671FCF" w14:textId="77777777" w:rsidR="00371212" w:rsidRPr="00C02DC8" w:rsidRDefault="00371212" w:rsidP="00666538">
      <w:pPr>
        <w:numPr>
          <w:ilvl w:val="0"/>
          <w:numId w:val="6"/>
        </w:numPr>
        <w:spacing w:before="120" w:after="120" w:line="276" w:lineRule="auto"/>
        <w:ind w:left="448" w:hanging="448"/>
        <w:jc w:val="center"/>
        <w:rPr>
          <w:b/>
          <w:bCs/>
          <w:sz w:val="22"/>
          <w:szCs w:val="22"/>
        </w:rPr>
      </w:pPr>
      <w:r w:rsidRPr="00C02DC8">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lang w:val="x-none"/>
        </w:rPr>
        <w:t xml:space="preserve">Par </w:t>
      </w:r>
      <w:r w:rsidRPr="00C02DC8">
        <w:rPr>
          <w:sz w:val="22"/>
          <w:szCs w:val="22"/>
        </w:rPr>
        <w:t>veicamajiem</w:t>
      </w:r>
      <w:r w:rsidRPr="00C02DC8">
        <w:rPr>
          <w:sz w:val="22"/>
          <w:szCs w:val="22"/>
          <w:lang w:val="x-none"/>
        </w:rPr>
        <w:t xml:space="preserve"> darbiem PASŪTĪTĀJS IZPILDĪTĀJU informē pa telefona Nr. ____________, nepieciešamo dokumentāciju </w:t>
      </w:r>
      <w:r w:rsidR="00C02DC8" w:rsidRPr="00C02DC8">
        <w:t>PAKALPOJUMA</w:t>
      </w:r>
      <w:r w:rsidRPr="00C02DC8">
        <w:rPr>
          <w:sz w:val="22"/>
          <w:szCs w:val="22"/>
          <w:lang w:val="x-none"/>
        </w:rPr>
        <w:t xml:space="preserve"> veikšanai (darba uzdevumu) nosūtot </w:t>
      </w:r>
      <w:r w:rsidR="007B613D" w:rsidRPr="00C02DC8">
        <w:rPr>
          <w:sz w:val="22"/>
          <w:szCs w:val="22"/>
        </w:rPr>
        <w:t>uz</w:t>
      </w:r>
      <w:r w:rsidR="007B613D" w:rsidRPr="00C02DC8">
        <w:rPr>
          <w:sz w:val="22"/>
          <w:szCs w:val="22"/>
          <w:lang w:val="x-none"/>
        </w:rPr>
        <w:t xml:space="preserve"> </w:t>
      </w:r>
      <w:r w:rsidRPr="00C02DC8">
        <w:rPr>
          <w:sz w:val="22"/>
          <w:szCs w:val="22"/>
          <w:lang w:val="x-none"/>
        </w:rPr>
        <w:t xml:space="preserve">e-pastu </w:t>
      </w:r>
      <w:r w:rsidRPr="00C02DC8">
        <w:rPr>
          <w:sz w:val="22"/>
          <w:szCs w:val="22"/>
        </w:rPr>
        <w:t>_____________ .</w:t>
      </w:r>
    </w:p>
    <w:p w14:paraId="1F57E1D3" w14:textId="7A0E3F0C" w:rsidR="00371212" w:rsidRPr="0055027F"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6DB01169"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A54D1D">
      <w:pPr>
        <w:pStyle w:val="Sarakstarindkopa"/>
        <w:numPr>
          <w:ilvl w:val="0"/>
          <w:numId w:val="14"/>
        </w:numPr>
        <w:contextualSpacing/>
        <w:jc w:val="both"/>
        <w:rPr>
          <w:vanish/>
          <w:sz w:val="22"/>
          <w:szCs w:val="22"/>
          <w:lang w:val="x-none"/>
        </w:rPr>
      </w:pPr>
    </w:p>
    <w:p w14:paraId="01BB19C9" w14:textId="77777777" w:rsidR="00371212" w:rsidRPr="00020F40" w:rsidRDefault="00371212" w:rsidP="00A54D1D">
      <w:pPr>
        <w:pStyle w:val="Sarakstarindkopa"/>
        <w:numPr>
          <w:ilvl w:val="1"/>
          <w:numId w:val="14"/>
        </w:numPr>
        <w:ind w:left="567"/>
        <w:contextualSpacing/>
        <w:jc w:val="both"/>
        <w:rPr>
          <w:sz w:val="22"/>
          <w:szCs w:val="22"/>
          <w:lang w:val="x-none"/>
        </w:rPr>
      </w:pPr>
      <w:r w:rsidRPr="00244F98">
        <w:rPr>
          <w:caps/>
          <w:sz w:val="22"/>
          <w:szCs w:val="22"/>
          <w:lang w:val="x-none"/>
        </w:rPr>
        <w:t>Puses</w:t>
      </w:r>
      <w:r w:rsidRPr="00020F40">
        <w:rPr>
          <w:sz w:val="22"/>
          <w:szCs w:val="22"/>
          <w:lang w:val="x-none"/>
        </w:rPr>
        <w:t xml:space="preserve"> atbild viena otrai par zaudējumiem, kas nodarīti to vainojamas rīcības rezultātā.</w:t>
      </w:r>
    </w:p>
    <w:p w14:paraId="01D8E181"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IZPILDĪTĀJS </w:t>
      </w:r>
      <w:r w:rsidRPr="003C107B">
        <w:rPr>
          <w:sz w:val="22"/>
          <w:szCs w:val="22"/>
          <w:lang w:val="x-none"/>
        </w:rPr>
        <w:t xml:space="preserve">novērš </w:t>
      </w:r>
      <w:r w:rsidR="00AC7E17" w:rsidRPr="003C107B">
        <w:rPr>
          <w:sz w:val="22"/>
          <w:szCs w:val="22"/>
        </w:rPr>
        <w:t xml:space="preserve">PAKALPOJUMA </w:t>
      </w:r>
      <w:r w:rsidRPr="003C107B">
        <w:rPr>
          <w:sz w:val="22"/>
          <w:szCs w:val="22"/>
          <w:lang w:val="x-none"/>
        </w:rPr>
        <w:t>pieņemšanas</w:t>
      </w:r>
      <w:r w:rsidRPr="00020F40">
        <w:rPr>
          <w:sz w:val="22"/>
          <w:szCs w:val="22"/>
          <w:lang w:val="x-none"/>
        </w:rPr>
        <w:t xml:space="preserve"> nodošanas gaitā konstatētos trūkumus par saviem līdzekļiem.</w:t>
      </w:r>
    </w:p>
    <w:p w14:paraId="784FCF27"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lastRenderedPageBreak/>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A54D1D">
      <w:pPr>
        <w:pStyle w:val="Sarakstarindkopa"/>
        <w:numPr>
          <w:ilvl w:val="0"/>
          <w:numId w:val="14"/>
        </w:numPr>
        <w:contextualSpacing/>
        <w:jc w:val="both"/>
        <w:rPr>
          <w:vanish/>
          <w:sz w:val="22"/>
          <w:szCs w:val="22"/>
          <w:lang w:val="x-none"/>
        </w:rPr>
      </w:pPr>
    </w:p>
    <w:p w14:paraId="5F51302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A54D1D">
      <w:pPr>
        <w:numPr>
          <w:ilvl w:val="0"/>
          <w:numId w:val="6"/>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A54D1D">
      <w:pPr>
        <w:pStyle w:val="Sarakstarindkopa"/>
        <w:numPr>
          <w:ilvl w:val="0"/>
          <w:numId w:val="14"/>
        </w:numPr>
        <w:contextualSpacing/>
        <w:jc w:val="both"/>
        <w:rPr>
          <w:vanish/>
          <w:sz w:val="22"/>
          <w:szCs w:val="22"/>
          <w:lang w:val="x-none"/>
        </w:rPr>
      </w:pPr>
    </w:p>
    <w:p w14:paraId="0150A46D" w14:textId="77777777" w:rsidR="00371212" w:rsidRPr="00666538" w:rsidRDefault="00371212" w:rsidP="00A54D1D">
      <w:pPr>
        <w:pStyle w:val="Sarakstarindkopa"/>
        <w:numPr>
          <w:ilvl w:val="1"/>
          <w:numId w:val="14"/>
        </w:numPr>
        <w:ind w:left="567"/>
        <w:contextualSpacing/>
        <w:jc w:val="both"/>
        <w:rPr>
          <w:sz w:val="22"/>
          <w:szCs w:val="22"/>
          <w:lang w:val="x-none"/>
        </w:rPr>
      </w:pPr>
      <w:r w:rsidRPr="00A54D1D">
        <w:rPr>
          <w:sz w:val="22"/>
          <w:szCs w:val="22"/>
          <w:lang w:val="x-none"/>
        </w:rPr>
        <w:t>Šis</w:t>
      </w:r>
      <w:r w:rsidRPr="00666538">
        <w:rPr>
          <w:sz w:val="22"/>
          <w:szCs w:val="22"/>
          <w:lang w:val="x-none"/>
        </w:rPr>
        <w:t xml:space="preserve"> Līgums stājas spēkā tā abpusējas parakstīšanas dienā un ir attiecināms uz laika periodu līdz </w:t>
      </w:r>
      <w:r w:rsidR="003E16D1" w:rsidRPr="00666538">
        <w:rPr>
          <w:sz w:val="22"/>
          <w:szCs w:val="22"/>
          <w:lang w:val="x-none"/>
        </w:rPr>
        <w:t>PUŠU</w:t>
      </w:r>
      <w:r w:rsidRPr="00666538">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48B9EAB3"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E67213">
        <w:rPr>
          <w:sz w:val="22"/>
          <w:szCs w:val="22"/>
        </w:rPr>
        <w:t>9 999,99</w:t>
      </w:r>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4F4B4B68" w:rsidR="00371212" w:rsidRPr="00666538" w:rsidRDefault="003E16D1" w:rsidP="00A54D1D">
      <w:pPr>
        <w:pStyle w:val="Sarakstarindkopa"/>
        <w:numPr>
          <w:ilvl w:val="1"/>
          <w:numId w:val="14"/>
        </w:numPr>
        <w:ind w:left="567"/>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C6774B">
        <w:rPr>
          <w:sz w:val="22"/>
          <w:szCs w:val="22"/>
        </w:rPr>
        <w:t>___________</w:t>
      </w:r>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7777777" w:rsidR="009C32FB" w:rsidRPr="00666538" w:rsidRDefault="009C32FB" w:rsidP="009C32FB">
      <w:pPr>
        <w:pStyle w:val="Sarakstarindkopa"/>
        <w:ind w:left="567"/>
        <w:contextualSpacing/>
        <w:jc w:val="both"/>
        <w:rPr>
          <w:sz w:val="22"/>
          <w:szCs w:val="22"/>
          <w:lang w:val="x-none"/>
        </w:rPr>
      </w:pPr>
    </w:p>
    <w:p w14:paraId="2917712E" w14:textId="77777777" w:rsidR="00870EEF" w:rsidRPr="00870EEF" w:rsidRDefault="00870EEF" w:rsidP="00870EEF">
      <w:pPr>
        <w:numPr>
          <w:ilvl w:val="0"/>
          <w:numId w:val="6"/>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020F40">
      <w:pPr>
        <w:pStyle w:val="Sarakstarindkopa"/>
        <w:numPr>
          <w:ilvl w:val="0"/>
          <w:numId w:val="14"/>
        </w:numPr>
        <w:contextualSpacing/>
        <w:jc w:val="both"/>
        <w:rPr>
          <w:vanish/>
          <w:sz w:val="22"/>
          <w:szCs w:val="22"/>
          <w:lang w:val="x-none"/>
        </w:rPr>
      </w:pPr>
    </w:p>
    <w:p w14:paraId="45A628FE"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Ja Līguma un ar to saistīto pienākumu izpildes gaitā </w:t>
      </w:r>
      <w:r w:rsidRPr="008D0953">
        <w:rPr>
          <w:caps/>
          <w:sz w:val="22"/>
          <w:szCs w:val="22"/>
          <w:lang w:val="x-none"/>
        </w:rPr>
        <w:t>Pušu</w:t>
      </w:r>
      <w:r w:rsidRPr="00020F40">
        <w:rPr>
          <w:sz w:val="22"/>
          <w:szCs w:val="22"/>
          <w:lang w:val="x-none"/>
        </w:rPr>
        <w:t xml:space="preserve"> rīcībā nonāk informācija, kas saistīta ar konkrētām fiziskām personām vai šādu </w:t>
      </w:r>
      <w:r w:rsidRPr="003C107B">
        <w:rPr>
          <w:sz w:val="22"/>
          <w:szCs w:val="22"/>
          <w:lang w:val="x-none"/>
        </w:rPr>
        <w:t xml:space="preserve">informāciju </w:t>
      </w:r>
      <w:r w:rsidR="00AC7E17" w:rsidRPr="003C107B">
        <w:rPr>
          <w:sz w:val="22"/>
          <w:szCs w:val="22"/>
        </w:rPr>
        <w:t>PASŪTĪTĀJS</w:t>
      </w:r>
      <w:r w:rsidRPr="003C107B">
        <w:rPr>
          <w:sz w:val="22"/>
          <w:szCs w:val="22"/>
          <w:lang w:val="x-none"/>
        </w:rPr>
        <w:t xml:space="preserve"> uzdevis</w:t>
      </w:r>
      <w:r w:rsidRPr="00020F40">
        <w:rPr>
          <w:sz w:val="22"/>
          <w:szCs w:val="22"/>
          <w:lang w:val="x-none"/>
        </w:rPr>
        <w:t xml:space="preserve"> Izpildītājam vākt Līguma izpildes gaitā, turpmāk tekstā – Personas dati, </w:t>
      </w:r>
      <w:r w:rsidRPr="008D0953">
        <w:rPr>
          <w:caps/>
          <w:sz w:val="22"/>
          <w:szCs w:val="22"/>
          <w:lang w:val="x-none"/>
        </w:rPr>
        <w:t>Puses</w:t>
      </w:r>
      <w:r w:rsidRPr="00020F40">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lastRenderedPageBreak/>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CF6D55">
      <w:pPr>
        <w:pStyle w:val="Sarakstarindkopa"/>
        <w:numPr>
          <w:ilvl w:val="1"/>
          <w:numId w:val="14"/>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CF6D55">
      <w:pPr>
        <w:pStyle w:val="Sarakstarindkopa"/>
        <w:numPr>
          <w:ilvl w:val="1"/>
          <w:numId w:val="14"/>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8D0953">
      <w:pPr>
        <w:numPr>
          <w:ilvl w:val="0"/>
          <w:numId w:val="6"/>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8D0953">
      <w:pPr>
        <w:pStyle w:val="Sarakstarindkopa"/>
        <w:numPr>
          <w:ilvl w:val="0"/>
          <w:numId w:val="14"/>
        </w:numPr>
        <w:contextualSpacing/>
        <w:jc w:val="both"/>
        <w:rPr>
          <w:vanish/>
          <w:sz w:val="22"/>
          <w:szCs w:val="22"/>
          <w:lang w:val="x-none"/>
        </w:rPr>
      </w:pPr>
    </w:p>
    <w:p w14:paraId="6B7A9B23" w14:textId="77777777" w:rsidR="00E7196E" w:rsidRDefault="00E7196E" w:rsidP="00E7196E">
      <w:pPr>
        <w:pStyle w:val="Sarakstarindkopa"/>
        <w:numPr>
          <w:ilvl w:val="1"/>
          <w:numId w:val="14"/>
        </w:numPr>
        <w:ind w:left="567"/>
        <w:contextualSpacing/>
        <w:jc w:val="both"/>
        <w:rPr>
          <w:sz w:val="22"/>
          <w:szCs w:val="22"/>
          <w:lang w:val="x-none"/>
        </w:rPr>
      </w:pPr>
      <w:r w:rsidRPr="002963EF">
        <w:rPr>
          <w:sz w:val="22"/>
          <w:szCs w:val="22"/>
          <w:lang w:val="x-none"/>
        </w:rPr>
        <w:t>Kontaktpersona</w:t>
      </w:r>
      <w:r w:rsidRPr="00666538">
        <w:rPr>
          <w:sz w:val="22"/>
          <w:szCs w:val="22"/>
          <w:lang w:val="x-none"/>
        </w:rPr>
        <w:t xml:space="preserve">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77777777" w:rsidR="00E7196E" w:rsidRDefault="00E7196E" w:rsidP="00E7196E">
      <w:pPr>
        <w:pStyle w:val="Sarakstarindkopa"/>
        <w:numPr>
          <w:ilvl w:val="1"/>
          <w:numId w:val="14"/>
        </w:numPr>
        <w:ind w:left="567"/>
        <w:contextualSpacing/>
        <w:jc w:val="both"/>
        <w:rPr>
          <w:sz w:val="22"/>
          <w:szCs w:val="22"/>
          <w:lang w:val="x-none"/>
        </w:rPr>
      </w:pPr>
      <w:r w:rsidRPr="00666538">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23BB0C4A"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E7196E">
      <w:pPr>
        <w:pStyle w:val="Sarakstarindkopa"/>
        <w:numPr>
          <w:ilvl w:val="1"/>
          <w:numId w:val="14"/>
        </w:numPr>
        <w:ind w:left="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7A0982D9"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59EDB285"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E6838B"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3C511C33"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B3ACEB"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Līguma izpildes uzraudzīšanu, pieņemšanas - nodošanas akta noformēšanu, iesniegšanu un parakstīšanu atbilstoši šā Līguma prasībām;</w:t>
      </w:r>
    </w:p>
    <w:p w14:paraId="1DFD656D"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savlaicīgu rēķinu iesniegšanu un pieņemšanu, apstiprināšanu un nodošanu apmaksai;</w:t>
      </w:r>
    </w:p>
    <w:p w14:paraId="1D28C6F7"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8D0953">
      <w:pPr>
        <w:pStyle w:val="Sarakstarindkopa"/>
        <w:numPr>
          <w:ilvl w:val="1"/>
          <w:numId w:val="14"/>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A54D1D">
      <w:pPr>
        <w:pStyle w:val="Sarakstarindkopa"/>
        <w:numPr>
          <w:ilvl w:val="1"/>
          <w:numId w:val="14"/>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r>
      <w:r w:rsidRPr="008D0953">
        <w:rPr>
          <w:sz w:val="22"/>
          <w:szCs w:val="22"/>
          <w:lang w:val="x-none"/>
        </w:rPr>
        <w:lastRenderedPageBreak/>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8D0953">
      <w:pPr>
        <w:pStyle w:val="Sarakstarindkopa"/>
        <w:numPr>
          <w:ilvl w:val="1"/>
          <w:numId w:val="14"/>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634B2AEC" w14:textId="77777777" w:rsidR="00A706C3" w:rsidRPr="00666538" w:rsidRDefault="00A706C3" w:rsidP="00290BB9">
      <w:pPr>
        <w:pStyle w:val="Sarakstarindkopa"/>
        <w:numPr>
          <w:ilvl w:val="1"/>
          <w:numId w:val="14"/>
        </w:numPr>
        <w:ind w:left="567"/>
        <w:contextualSpacing/>
        <w:jc w:val="both"/>
        <w:rPr>
          <w:sz w:val="22"/>
          <w:szCs w:val="22"/>
          <w:lang w:val="x-none"/>
        </w:rPr>
      </w:pPr>
      <w:r w:rsidRPr="00290BB9">
        <w:rPr>
          <w:caps/>
          <w:sz w:val="22"/>
          <w:szCs w:val="22"/>
          <w:lang w:val="x-none"/>
        </w:rPr>
        <w:t>Šis</w:t>
      </w:r>
      <w:r w:rsidRPr="00666538">
        <w:rPr>
          <w:sz w:val="22"/>
          <w:szCs w:val="22"/>
          <w:lang w:val="x-none"/>
        </w:rPr>
        <w:t xml:space="preserve"> Līgums ir sastādīts latviešu valodā 2 (divos) eksemplāros, ar vienādu juridisku spēku, pa vienam eksemplāram katrai PUSEI;</w:t>
      </w:r>
    </w:p>
    <w:p w14:paraId="55BA89D5" w14:textId="1821D21F" w:rsidR="00A706C3" w:rsidRDefault="00A706C3" w:rsidP="00A706C3">
      <w:pPr>
        <w:pStyle w:val="Sarakstarindkopa"/>
        <w:numPr>
          <w:ilvl w:val="1"/>
          <w:numId w:val="14"/>
        </w:numPr>
        <w:ind w:left="600"/>
        <w:contextualSpacing/>
        <w:jc w:val="both"/>
        <w:rPr>
          <w:sz w:val="22"/>
          <w:szCs w:val="22"/>
          <w:lang w:val="x-none"/>
        </w:rPr>
      </w:pPr>
      <w:r w:rsidRPr="00666538">
        <w:rPr>
          <w:sz w:val="22"/>
          <w:szCs w:val="22"/>
          <w:lang w:val="x-none"/>
        </w:rPr>
        <w:t>Līguma Pielikumi:</w:t>
      </w:r>
    </w:p>
    <w:p w14:paraId="6486A848" w14:textId="520EA964" w:rsidR="00491183" w:rsidRDefault="00491183" w:rsidP="00491183">
      <w:pPr>
        <w:pStyle w:val="Sarakstarindkopa"/>
        <w:numPr>
          <w:ilvl w:val="2"/>
          <w:numId w:val="14"/>
        </w:numPr>
        <w:contextualSpacing/>
        <w:jc w:val="both"/>
        <w:rPr>
          <w:sz w:val="22"/>
          <w:szCs w:val="22"/>
        </w:rPr>
      </w:pPr>
      <w:r>
        <w:rPr>
          <w:sz w:val="22"/>
          <w:szCs w:val="22"/>
        </w:rPr>
        <w:t>Pielikums Nr.1 – Iestāžu saraksts;</w:t>
      </w:r>
    </w:p>
    <w:p w14:paraId="178545CF" w14:textId="2FA8B214"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2963EF">
      <w:pPr>
        <w:pStyle w:val="Sarakstarindkopa"/>
        <w:numPr>
          <w:ilvl w:val="0"/>
          <w:numId w:val="14"/>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666538">
      <w:pPr>
        <w:pStyle w:val="Sarakstarindkopa"/>
        <w:numPr>
          <w:ilvl w:val="0"/>
          <w:numId w:val="14"/>
        </w:numPr>
        <w:contextualSpacing/>
        <w:jc w:val="both"/>
        <w:rPr>
          <w:vanish/>
          <w:sz w:val="22"/>
          <w:szCs w:val="22"/>
          <w:lang w:val="x-none"/>
        </w:rPr>
      </w:pPr>
    </w:p>
    <w:p w14:paraId="365ED986" w14:textId="77777777" w:rsidR="00371212" w:rsidRPr="0074226B" w:rsidRDefault="00371212" w:rsidP="00134548">
      <w:pPr>
        <w:numPr>
          <w:ilvl w:val="0"/>
          <w:numId w:val="6"/>
        </w:numPr>
        <w:spacing w:before="120" w:after="120" w:line="276" w:lineRule="auto"/>
        <w:ind w:left="448" w:hanging="448"/>
        <w:jc w:val="center"/>
        <w:rPr>
          <w:b/>
          <w:bCs/>
          <w:sz w:val="22"/>
          <w:szCs w:val="22"/>
        </w:rPr>
      </w:pPr>
      <w:r w:rsidRPr="0074226B">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1"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3"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17"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0"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5"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28"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29"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0" w15:restartNumberingAfterBreak="0">
    <w:nsid w:val="6AE94920"/>
    <w:multiLevelType w:val="multilevel"/>
    <w:tmpl w:val="EE56E524"/>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1"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27"/>
  </w:num>
  <w:num w:numId="3">
    <w:abstractNumId w:val="5"/>
  </w:num>
  <w:num w:numId="4">
    <w:abstractNumId w:val="38"/>
  </w:num>
  <w:num w:numId="5">
    <w:abstractNumId w:val="25"/>
  </w:num>
  <w:num w:numId="6">
    <w:abstractNumId w:val="1"/>
  </w:num>
  <w:num w:numId="7">
    <w:abstractNumId w:val="10"/>
  </w:num>
  <w:num w:numId="8">
    <w:abstractNumId w:val="12"/>
  </w:num>
  <w:num w:numId="9">
    <w:abstractNumId w:val="0"/>
  </w:num>
  <w:num w:numId="10">
    <w:abstractNumId w:val="4"/>
  </w:num>
  <w:num w:numId="11">
    <w:abstractNumId w:val="35"/>
  </w:num>
  <w:num w:numId="12">
    <w:abstractNumId w:val="3"/>
  </w:num>
  <w:num w:numId="13">
    <w:abstractNumId w:val="37"/>
  </w:num>
  <w:num w:numId="14">
    <w:abstractNumId w:val="30"/>
  </w:num>
  <w:num w:numId="15">
    <w:abstractNumId w:val="13"/>
  </w:num>
  <w:num w:numId="16">
    <w:abstractNumId w:val="22"/>
  </w:num>
  <w:num w:numId="17">
    <w:abstractNumId w:val="14"/>
  </w:num>
  <w:num w:numId="18">
    <w:abstractNumId w:val="31"/>
  </w:num>
  <w:num w:numId="19">
    <w:abstractNumId w:val="15"/>
  </w:num>
  <w:num w:numId="20">
    <w:abstractNumId w:val="32"/>
  </w:num>
  <w:num w:numId="21">
    <w:abstractNumId w:val="34"/>
  </w:num>
  <w:num w:numId="22">
    <w:abstractNumId w:val="26"/>
  </w:num>
  <w:num w:numId="23">
    <w:abstractNumId w:val="9"/>
  </w:num>
  <w:num w:numId="24">
    <w:abstractNumId w:val="19"/>
  </w:num>
  <w:num w:numId="25">
    <w:abstractNumId w:val="24"/>
  </w:num>
  <w:num w:numId="26">
    <w:abstractNumId w:val="23"/>
  </w:num>
  <w:num w:numId="27">
    <w:abstractNumId w:val="2"/>
  </w:num>
  <w:num w:numId="28">
    <w:abstractNumId w:val="29"/>
  </w:num>
  <w:num w:numId="29">
    <w:abstractNumId w:val="21"/>
  </w:num>
  <w:num w:numId="30">
    <w:abstractNumId w:val="6"/>
  </w:num>
  <w:num w:numId="31">
    <w:abstractNumId w:val="20"/>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16"/>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6B21"/>
    <w:rsid w:val="005D3C71"/>
    <w:rsid w:val="005D770F"/>
    <w:rsid w:val="005E2026"/>
    <w:rsid w:val="005F51C5"/>
    <w:rsid w:val="005F5928"/>
    <w:rsid w:val="005F7B0F"/>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E57C7"/>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6100B"/>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5BF6"/>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421BA"/>
    <w:rsid w:val="00E42BFE"/>
    <w:rsid w:val="00E43A4B"/>
    <w:rsid w:val="00E44DA6"/>
    <w:rsid w:val="00E454C2"/>
    <w:rsid w:val="00E47B96"/>
    <w:rsid w:val="00E509FF"/>
    <w:rsid w:val="00E620D0"/>
    <w:rsid w:val="00E64DC4"/>
    <w:rsid w:val="00E67213"/>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2.xml><?xml version="1.0" encoding="utf-8"?>
<ds:datastoreItem xmlns:ds="http://schemas.openxmlformats.org/officeDocument/2006/customXml" ds:itemID="{64C0CAC1-187C-46D7-AC95-38ED587D809D}">
  <ds:schemaRef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80677ddf-bd76-494c-8da1-d059a818bbc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F1A9F71-1ED8-4B14-A462-15AF91834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16B518-7B08-44E4-BD1D-7C69236C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9384</Words>
  <Characters>5350</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2</cp:revision>
  <cp:lastPrinted>2023-08-08T06:35:00Z</cp:lastPrinted>
  <dcterms:created xsi:type="dcterms:W3CDTF">2023-10-19T06:11:00Z</dcterms:created>
  <dcterms:modified xsi:type="dcterms:W3CDTF">2023-10-19T06:11:00Z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