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66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</w:t>
      </w:r>
      <w:r w:rsidR="002075F0">
        <w:rPr>
          <w:rFonts w:eastAsia="Times New Roman"/>
          <w:lang w:eastAsia="ar-SA"/>
        </w:rPr>
        <w:t>a</w:t>
      </w:r>
      <w:r w:rsidR="00C80DDE">
        <w:rPr>
          <w:rFonts w:eastAsia="Times New Roman"/>
          <w:lang w:eastAsia="ar-SA"/>
        </w:rPr>
        <w:t>unatnes sporta skolas direktors</w:t>
      </w: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C80DDE">
        <w:rPr>
          <w:rFonts w:eastAsia="Times New Roman"/>
          <w:lang w:eastAsia="ar-SA"/>
        </w:rPr>
        <w:t>N. Čemodanovs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C80DDE">
        <w:rPr>
          <w:rFonts w:eastAsia="Times New Roman"/>
          <w:bCs/>
          <w:lang w:eastAsia="ar-SA"/>
        </w:rPr>
        <w:t>26. aprīlī</w:t>
      </w:r>
      <w:r w:rsidR="00ED6694">
        <w:rPr>
          <w:rFonts w:eastAsia="Times New Roman"/>
          <w:bCs/>
          <w:lang w:eastAsia="ar-SA"/>
        </w:rPr>
        <w:t xml:space="preserve"> 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C80DDE">
        <w:rPr>
          <w:rFonts w:eastAsia="Times New Roman"/>
          <w:bCs/>
          <w:lang w:eastAsia="ar-SA"/>
        </w:rPr>
        <w:t>18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2075F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BJSS volejbola</w:t>
      </w:r>
      <w:r w:rsidR="00CB4EA0" w:rsidRPr="00CB4EA0">
        <w:rPr>
          <w:rFonts w:eastAsia="Times New Roman"/>
          <w:b/>
          <w:bCs/>
          <w:lang w:eastAsia="en-US"/>
        </w:rPr>
        <w:t xml:space="preserve"> sacensību</w:t>
      </w:r>
      <w:r>
        <w:rPr>
          <w:rFonts w:eastAsia="Times New Roman"/>
          <w:b/>
          <w:bCs/>
          <w:lang w:eastAsia="en-US"/>
        </w:rPr>
        <w:t xml:space="preserve"> “</w:t>
      </w:r>
      <w:r w:rsidR="00C80DDE">
        <w:rPr>
          <w:rFonts w:eastAsia="Times New Roman"/>
          <w:b/>
          <w:bCs/>
          <w:lang w:eastAsia="en-US"/>
        </w:rPr>
        <w:t>V. Maizeļa piemiņas kauss</w:t>
      </w:r>
      <w:r>
        <w:rPr>
          <w:rFonts w:eastAsia="Times New Roman"/>
          <w:b/>
          <w:bCs/>
          <w:lang w:eastAsia="en-US"/>
        </w:rPr>
        <w:t>”</w:t>
      </w:r>
      <w:r w:rsidR="00CB4EA0" w:rsidRPr="00CB4EA0">
        <w:rPr>
          <w:rFonts w:eastAsia="Times New Roman"/>
          <w:b/>
          <w:bCs/>
          <w:lang w:eastAsia="en-US"/>
        </w:rPr>
        <w:t xml:space="preserve">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2075F0" w:rsidRPr="002075F0">
        <w:rPr>
          <w:rFonts w:eastAsia="Times New Roman"/>
          <w:bCs/>
          <w:lang w:eastAsia="en-US"/>
        </w:rPr>
        <w:t>Daugavpils BJSS volejbola sacensību “</w:t>
      </w:r>
      <w:r w:rsidR="00C80DDE">
        <w:rPr>
          <w:rFonts w:eastAsia="Times New Roman"/>
          <w:bCs/>
          <w:lang w:eastAsia="en-US"/>
        </w:rPr>
        <w:t>V. Maizeļa piemiņas kauss</w:t>
      </w:r>
      <w:r w:rsidR="002075F0" w:rsidRPr="002075F0">
        <w:rPr>
          <w:rFonts w:eastAsia="Times New Roman"/>
          <w:bCs/>
          <w:lang w:eastAsia="en-US"/>
        </w:rPr>
        <w:t>”</w:t>
      </w:r>
      <w:r w:rsidR="002075F0" w:rsidRPr="00CB4EA0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C80DDE">
        <w:rPr>
          <w:rFonts w:eastAsia="Times New Roman"/>
          <w:bCs/>
          <w:lang w:eastAsia="en-US"/>
        </w:rPr>
        <w:t>1068</w:t>
      </w:r>
      <w:r w:rsidR="00D12D19">
        <w:rPr>
          <w:rFonts w:eastAsia="Times New Roman"/>
          <w:bCs/>
          <w:lang w:eastAsia="en-US"/>
        </w:rPr>
        <w:t>,00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C80DDE">
        <w:rPr>
          <w:rFonts w:eastAsia="Times New Roman"/>
          <w:bCs/>
          <w:lang w:eastAsia="en-US"/>
        </w:rPr>
        <w:t>29. – 30. aprīlis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C80DDE">
        <w:rPr>
          <w:rFonts w:eastAsia="Times New Roman"/>
          <w:b/>
          <w:bCs/>
          <w:lang w:eastAsia="en-US"/>
        </w:rPr>
        <w:t>28. aprīlim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C80DDE">
        <w:rPr>
          <w:rFonts w:eastAsia="Times New Roman"/>
          <w:b/>
          <w:bCs/>
          <w:lang w:eastAsia="en-US"/>
        </w:rPr>
        <w:t xml:space="preserve"> 8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15685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15685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2611EF" w:rsidRDefault="002611EF" w:rsidP="00FD659F">
      <w:bookmarkStart w:id="0" w:name="OLE_LINK1"/>
      <w:bookmarkStart w:id="1" w:name="OLE_LINK2"/>
    </w:p>
    <w:p w:rsidR="007F3873" w:rsidRDefault="007F387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lastRenderedPageBreak/>
        <w:t>1.pielikums</w:t>
      </w:r>
    </w:p>
    <w:p w:rsidR="00D94404" w:rsidRPr="00122D7D" w:rsidRDefault="00D94404" w:rsidP="00D94404">
      <w:pPr>
        <w:rPr>
          <w:b/>
        </w:rPr>
      </w:pPr>
    </w:p>
    <w:p w:rsid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  <w:r w:rsidR="00A82113">
        <w:rPr>
          <w:b/>
        </w:rPr>
        <w:t xml:space="preserve"> </w:t>
      </w:r>
    </w:p>
    <w:p w:rsidR="00A82113" w:rsidRPr="00D94404" w:rsidRDefault="00A82113" w:rsidP="00BB3859">
      <w:pPr>
        <w:jc w:val="center"/>
        <w:rPr>
          <w:b/>
        </w:rPr>
      </w:pP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C80DDE">
        <w:rPr>
          <w:rFonts w:eastAsia="Times New Roman"/>
          <w:bCs/>
          <w:lang w:eastAsia="en-US"/>
        </w:rPr>
        <w:t>29.-30. aprīlis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9C55E3">
        <w:trPr>
          <w:trHeight w:val="4140"/>
        </w:trPr>
        <w:tc>
          <w:tcPr>
            <w:tcW w:w="562" w:type="dxa"/>
            <w:vAlign w:val="center"/>
          </w:tcPr>
          <w:p w:rsidR="00613CF6" w:rsidRPr="00012E99" w:rsidRDefault="00613CF6" w:rsidP="009C55E3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2075F0" w:rsidP="00C80DDE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Daugavpils BJSS volejbola sacensības  “</w:t>
            </w:r>
            <w:r w:rsidR="00C80DDE">
              <w:rPr>
                <w:rFonts w:eastAsia="Times New Roman"/>
                <w:b/>
                <w:bCs/>
                <w:sz w:val="24"/>
                <w:lang w:eastAsia="en-US"/>
              </w:rPr>
              <w:t xml:space="preserve">V. Maizeļa piemiņas kauss” </w:t>
            </w:r>
            <w:r w:rsidR="00D12D19">
              <w:rPr>
                <w:rFonts w:eastAsia="Times New Roman"/>
                <w:b/>
                <w:bCs/>
                <w:sz w:val="24"/>
                <w:lang w:eastAsia="en-US"/>
              </w:rPr>
              <w:t xml:space="preserve"> organizēšanas un tiesāšanas nodrošināšana </w:t>
            </w:r>
          </w:p>
        </w:tc>
        <w:tc>
          <w:tcPr>
            <w:tcW w:w="5075" w:type="dxa"/>
          </w:tcPr>
          <w:p w:rsidR="002075F0" w:rsidRPr="00012E99" w:rsidRDefault="002075F0" w:rsidP="002075F0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2075F0" w:rsidRPr="00012E99" w:rsidRDefault="00C80DDE" w:rsidP="00C80DDE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80DDE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spēles kalendāra sagatavošanu, spēļu bumbu nodrošināšana, bumbu spiediena pārbaudīšana).</w:t>
            </w:r>
            <w:r>
              <w:rPr>
                <w:sz w:val="24"/>
                <w:szCs w:val="24"/>
              </w:rPr>
              <w:t xml:space="preserve"> </w:t>
            </w:r>
            <w:r w:rsidR="002075F0">
              <w:rPr>
                <w:sz w:val="24"/>
                <w:szCs w:val="24"/>
              </w:rPr>
              <w:t>Spēle</w:t>
            </w:r>
            <w:r w:rsidR="002075F0" w:rsidRPr="00012E99">
              <w:rPr>
                <w:sz w:val="24"/>
                <w:szCs w:val="24"/>
              </w:rPr>
              <w:t xml:space="preserve">s tiek rakstītas </w:t>
            </w:r>
            <w:r w:rsidR="002075F0">
              <w:rPr>
                <w:sz w:val="24"/>
                <w:szCs w:val="24"/>
              </w:rPr>
              <w:t xml:space="preserve">uz oficiālajām FIVB starptautiskā spēles protokola veidlapām. </w:t>
            </w:r>
          </w:p>
          <w:p w:rsidR="002075F0" w:rsidRPr="00012E99" w:rsidRDefault="002075F0" w:rsidP="002075F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613CF6" w:rsidRPr="00012E99" w:rsidRDefault="002075F0" w:rsidP="002075F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613CF6" w:rsidRPr="00012E99" w:rsidRDefault="00C80DDE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75F0">
              <w:rPr>
                <w:sz w:val="24"/>
                <w:szCs w:val="24"/>
              </w:rPr>
              <w:t xml:space="preserve">8 </w:t>
            </w:r>
            <w:r w:rsidR="00613CF6" w:rsidRPr="00012E99">
              <w:rPr>
                <w:sz w:val="24"/>
                <w:szCs w:val="24"/>
              </w:rPr>
              <w:t>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56640F" w:rsidRDefault="0056640F">
      <w:pPr>
        <w:spacing w:after="200" w:line="276" w:lineRule="auto"/>
      </w:pPr>
      <w:r>
        <w:br w:type="page"/>
      </w:r>
    </w:p>
    <w:p w:rsidR="009F3241" w:rsidRDefault="009F3241" w:rsidP="0056640F">
      <w:pPr>
        <w:keepNext/>
        <w:suppressAutoHyphens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7A779B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7A779B">
        <w:rPr>
          <w:rFonts w:eastAsia="Times New Roman"/>
          <w:lang w:eastAsia="ar-SA"/>
        </w:rPr>
        <w:t>_________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D12D19" w:rsidRPr="00D12D19">
        <w:rPr>
          <w:rFonts w:eastAsia="Times New Roman"/>
          <w:bCs/>
          <w:lang w:eastAsia="en-US"/>
        </w:rPr>
        <w:t>Daugavpils BJSS volejbola sacensību  “</w:t>
      </w:r>
      <w:r w:rsidR="00C80DDE">
        <w:rPr>
          <w:rFonts w:eastAsia="Times New Roman"/>
          <w:bCs/>
          <w:lang w:eastAsia="en-US"/>
        </w:rPr>
        <w:t>V. Maizeļa piemiņas kauss</w:t>
      </w:r>
      <w:r w:rsidR="00D12D19" w:rsidRPr="00D12D19">
        <w:rPr>
          <w:rFonts w:eastAsia="Times New Roman"/>
          <w:bCs/>
          <w:lang w:eastAsia="en-US"/>
        </w:rPr>
        <w:t>”</w:t>
      </w:r>
      <w:r w:rsidR="00D12D19">
        <w:rPr>
          <w:rFonts w:eastAsia="Times New Roman"/>
          <w:b/>
          <w:bCs/>
          <w:lang w:eastAsia="en-US"/>
        </w:rPr>
        <w:t xml:space="preserve"> </w:t>
      </w:r>
      <w:r w:rsidR="00CB4EA0">
        <w:rPr>
          <w:rFonts w:eastAsia="Times New Roman"/>
          <w:bCs/>
          <w:lang w:eastAsia="en-US"/>
        </w:rPr>
        <w:t>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C80DDE" w:rsidRPr="00012E99" w:rsidTr="006B01BE">
        <w:trPr>
          <w:trHeight w:val="699"/>
        </w:trPr>
        <w:tc>
          <w:tcPr>
            <w:tcW w:w="704" w:type="dxa"/>
          </w:tcPr>
          <w:p w:rsidR="00C80DDE" w:rsidRPr="00012E99" w:rsidRDefault="00C80DDE" w:rsidP="00C80DDE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C80DDE" w:rsidRPr="00CB4EA0" w:rsidRDefault="00C80DDE" w:rsidP="00C80DDE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 xml:space="preserve">Daugavpils BJSS volejbola sacensības  “V. Maizeļa piemiņas kauss”  organizēšanas un tiesāšanas nodrošināšana </w:t>
            </w:r>
          </w:p>
        </w:tc>
        <w:tc>
          <w:tcPr>
            <w:tcW w:w="4253" w:type="dxa"/>
          </w:tcPr>
          <w:p w:rsidR="00C80DDE" w:rsidRPr="00012E99" w:rsidRDefault="00C80DDE" w:rsidP="00C80DDE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C80DDE" w:rsidRPr="00012E99" w:rsidRDefault="00C80DDE" w:rsidP="00C80DDE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80DDE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spēles kalendāra sagatavošanu, spēļu bumbu nodrošināšana, bumbu spiediena pārbaudīšana).</w:t>
            </w:r>
            <w:r>
              <w:rPr>
                <w:sz w:val="24"/>
                <w:szCs w:val="24"/>
              </w:rPr>
              <w:t xml:space="preserve"> Spēle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uz oficiālajām FIVB starptautiskā spēles protokola veidlapām. </w:t>
            </w:r>
          </w:p>
          <w:p w:rsidR="00C80DDE" w:rsidRPr="00012E99" w:rsidRDefault="00C80DDE" w:rsidP="00C80DDE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C80DDE" w:rsidRPr="00012E99" w:rsidRDefault="00C80DDE" w:rsidP="00C80DDE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C80DDE" w:rsidRPr="00012E99" w:rsidRDefault="00C80DDE" w:rsidP="00C8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012E99">
              <w:rPr>
                <w:sz w:val="24"/>
                <w:szCs w:val="24"/>
              </w:rPr>
              <w:t>spēles</w:t>
            </w:r>
          </w:p>
        </w:tc>
        <w:tc>
          <w:tcPr>
            <w:tcW w:w="1134" w:type="dxa"/>
          </w:tcPr>
          <w:p w:rsidR="00C80DDE" w:rsidRPr="00012E99" w:rsidRDefault="00C80DDE" w:rsidP="00C80D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C80DDE">
        <w:rPr>
          <w:rFonts w:eastAsia="Times New Roman"/>
          <w:bCs/>
          <w:lang w:eastAsia="en-US"/>
        </w:rPr>
        <w:t>29.</w:t>
      </w:r>
      <w:r w:rsidR="00A82113">
        <w:rPr>
          <w:rFonts w:eastAsia="Times New Roman"/>
          <w:bCs/>
          <w:lang w:eastAsia="en-US"/>
        </w:rPr>
        <w:t xml:space="preserve"> </w:t>
      </w:r>
      <w:r w:rsidR="00C80DDE">
        <w:rPr>
          <w:rFonts w:eastAsia="Times New Roman"/>
          <w:bCs/>
          <w:lang w:eastAsia="en-US"/>
        </w:rPr>
        <w:t>-</w:t>
      </w:r>
      <w:r w:rsidR="00A82113">
        <w:rPr>
          <w:rFonts w:eastAsia="Times New Roman"/>
          <w:bCs/>
          <w:lang w:eastAsia="en-US"/>
        </w:rPr>
        <w:t xml:space="preserve"> </w:t>
      </w:r>
      <w:bookmarkStart w:id="2" w:name="_GoBack"/>
      <w:bookmarkEnd w:id="2"/>
      <w:r w:rsidR="00C80DDE">
        <w:rPr>
          <w:rFonts w:eastAsia="Times New Roman"/>
          <w:bCs/>
          <w:lang w:eastAsia="en-US"/>
        </w:rPr>
        <w:t>30. aprīlis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lastRenderedPageBreak/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4839B9" w:rsidRPr="0056640F" w:rsidRDefault="004839B9">
      <w:pPr>
        <w:spacing w:after="200" w:line="276" w:lineRule="auto"/>
        <w:rPr>
          <w:b/>
          <w:bCs/>
          <w:color w:val="000000"/>
        </w:rPr>
      </w:pPr>
    </w:p>
    <w:sectPr w:rsidR="004839B9" w:rsidRPr="0056640F" w:rsidSect="005664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6A" w:rsidRDefault="00B87C6A" w:rsidP="00B46840">
      <w:r>
        <w:separator/>
      </w:r>
    </w:p>
  </w:endnote>
  <w:endnote w:type="continuationSeparator" w:id="0">
    <w:p w:rsidR="00B87C6A" w:rsidRDefault="00B87C6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6A" w:rsidRDefault="00B87C6A" w:rsidP="00B46840">
      <w:r>
        <w:separator/>
      </w:r>
    </w:p>
  </w:footnote>
  <w:footnote w:type="continuationSeparator" w:id="0">
    <w:p w:rsidR="00B87C6A" w:rsidRDefault="00B87C6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5685F"/>
    <w:rsid w:val="0016498F"/>
    <w:rsid w:val="00166BFD"/>
    <w:rsid w:val="00174DBB"/>
    <w:rsid w:val="00197F12"/>
    <w:rsid w:val="001A55A4"/>
    <w:rsid w:val="001C0105"/>
    <w:rsid w:val="001F7C7C"/>
    <w:rsid w:val="00204569"/>
    <w:rsid w:val="002075F0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35CDA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6640F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249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79B"/>
    <w:rsid w:val="007A7B96"/>
    <w:rsid w:val="007B423D"/>
    <w:rsid w:val="007B4FA4"/>
    <w:rsid w:val="007B6DA5"/>
    <w:rsid w:val="007C0DEF"/>
    <w:rsid w:val="007C0FF1"/>
    <w:rsid w:val="007C3227"/>
    <w:rsid w:val="007D73F7"/>
    <w:rsid w:val="007E1E8F"/>
    <w:rsid w:val="007F3873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012C2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C55E3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82113"/>
    <w:rsid w:val="00A92D94"/>
    <w:rsid w:val="00AB5238"/>
    <w:rsid w:val="00AC26BE"/>
    <w:rsid w:val="00AD051E"/>
    <w:rsid w:val="00AD2F6C"/>
    <w:rsid w:val="00AE11E7"/>
    <w:rsid w:val="00B01C6C"/>
    <w:rsid w:val="00B11F1D"/>
    <w:rsid w:val="00B1612B"/>
    <w:rsid w:val="00B223D9"/>
    <w:rsid w:val="00B3022C"/>
    <w:rsid w:val="00B35CEE"/>
    <w:rsid w:val="00B45CCB"/>
    <w:rsid w:val="00B46840"/>
    <w:rsid w:val="00B5550B"/>
    <w:rsid w:val="00B817E6"/>
    <w:rsid w:val="00B86D8D"/>
    <w:rsid w:val="00B87C6A"/>
    <w:rsid w:val="00B9269C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1473"/>
    <w:rsid w:val="00C62424"/>
    <w:rsid w:val="00C63457"/>
    <w:rsid w:val="00C63602"/>
    <w:rsid w:val="00C80DDE"/>
    <w:rsid w:val="00C8150E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12D19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5E21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6694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D659F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51C2-0521-4E30-88B8-16BF7079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85</cp:revision>
  <cp:lastPrinted>2023-01-10T10:53:00Z</cp:lastPrinted>
  <dcterms:created xsi:type="dcterms:W3CDTF">2019-09-18T10:04:00Z</dcterms:created>
  <dcterms:modified xsi:type="dcterms:W3CDTF">2023-04-26T06:57:00Z</dcterms:modified>
</cp:coreProperties>
</file>