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w:t>
      </w:r>
      <w:r w:rsidR="0061376A">
        <w:rPr>
          <w:rFonts w:eastAsia="Times New Roman"/>
          <w:lang w:eastAsia="ar-SA"/>
        </w:rPr>
        <w:t>N. Čemodanovs</w:t>
      </w:r>
    </w:p>
    <w:p w:rsidR="00763752" w:rsidRPr="00CF1BEC" w:rsidRDefault="00B26ACE" w:rsidP="00763752">
      <w:pPr>
        <w:suppressAutoHyphens/>
        <w:jc w:val="right"/>
        <w:rPr>
          <w:rFonts w:eastAsia="Times New Roman"/>
          <w:bCs/>
          <w:caps/>
          <w:lang w:eastAsia="ar-SA"/>
        </w:rPr>
      </w:pPr>
      <w:r>
        <w:rPr>
          <w:rFonts w:eastAsia="Times New Roman"/>
          <w:bCs/>
          <w:lang w:eastAsia="ar-SA"/>
        </w:rPr>
        <w:t>Daugavpilī, 2022</w:t>
      </w:r>
      <w:r w:rsidR="00763752" w:rsidRPr="00CF1BEC">
        <w:rPr>
          <w:rFonts w:eastAsia="Times New Roman"/>
          <w:bCs/>
          <w:lang w:eastAsia="ar-SA"/>
        </w:rPr>
        <w:t>.</w:t>
      </w:r>
      <w:r w:rsidR="00A30BE5">
        <w:rPr>
          <w:rFonts w:eastAsia="Times New Roman"/>
          <w:bCs/>
          <w:lang w:eastAsia="ar-SA"/>
        </w:rPr>
        <w:t xml:space="preserve"> </w:t>
      </w:r>
      <w:r w:rsidR="00E05596">
        <w:rPr>
          <w:rFonts w:eastAsia="Times New Roman"/>
          <w:bCs/>
          <w:lang w:eastAsia="ar-SA"/>
        </w:rPr>
        <w:t xml:space="preserve">gada </w:t>
      </w:r>
      <w:r w:rsidR="00AC7728">
        <w:rPr>
          <w:rFonts w:eastAsia="Times New Roman"/>
          <w:bCs/>
          <w:lang w:eastAsia="ar-SA"/>
        </w:rPr>
        <w:t>16</w:t>
      </w:r>
      <w:r>
        <w:rPr>
          <w:rFonts w:eastAsia="Times New Roman"/>
          <w:bCs/>
          <w:lang w:eastAsia="ar-SA"/>
        </w:rPr>
        <w:t>.martā</w:t>
      </w:r>
    </w:p>
    <w:p w:rsidR="00763752" w:rsidRPr="001C1707" w:rsidRDefault="00AC7728" w:rsidP="001C1707">
      <w:pPr>
        <w:suppressAutoHyphens/>
        <w:rPr>
          <w:rFonts w:eastAsia="Times New Roman"/>
          <w:bCs/>
          <w:caps/>
          <w:lang w:eastAsia="ar-SA"/>
        </w:rPr>
      </w:pPr>
      <w:r>
        <w:rPr>
          <w:rFonts w:eastAsia="Times New Roman"/>
          <w:bCs/>
          <w:caps/>
          <w:lang w:eastAsia="ar-SA"/>
        </w:rPr>
        <w:t>DBJSS2022/11</w:t>
      </w:r>
    </w:p>
    <w:p w:rsidR="001C1707" w:rsidRPr="00CF1BEC" w:rsidRDefault="001C1707" w:rsidP="001C1707">
      <w:pPr>
        <w:suppressAutoHyphens/>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B26ACE" w:rsidRPr="00B26ACE" w:rsidRDefault="00B26ACE" w:rsidP="00B26ACE">
      <w:pPr>
        <w:spacing w:after="120"/>
        <w:ind w:left="360"/>
        <w:jc w:val="center"/>
        <w:rPr>
          <w:b/>
          <w:bCs/>
        </w:rPr>
      </w:pPr>
      <w:r w:rsidRPr="00B26ACE">
        <w:rPr>
          <w:b/>
          <w:bCs/>
        </w:rPr>
        <w:t>Sacensību “</w:t>
      </w:r>
      <w:r>
        <w:rPr>
          <w:b/>
          <w:color w:val="0D0D0D"/>
          <w:shd w:val="clear" w:color="auto" w:fill="FFFFFF"/>
        </w:rPr>
        <w:t>Eiropas Meiteņu Basketbola L</w:t>
      </w:r>
      <w:r w:rsidRPr="00B26ACE">
        <w:rPr>
          <w:b/>
          <w:color w:val="0D0D0D"/>
          <w:shd w:val="clear" w:color="auto" w:fill="FFFFFF"/>
        </w:rPr>
        <w:t>īga</w:t>
      </w:r>
      <w:r w:rsidRPr="00B26ACE">
        <w:rPr>
          <w:b/>
          <w:bCs/>
        </w:rPr>
        <w:t>” organizēšana</w:t>
      </w:r>
      <w:r w:rsidR="00AC7728">
        <w:rPr>
          <w:b/>
          <w:bCs/>
        </w:rPr>
        <w:t xml:space="preserve"> (tiesāšanas un apbalvojumu nodrošināšana)</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w:t>
            </w:r>
            <w:r w:rsidR="00AF1EE3">
              <w:rPr>
                <w:rFonts w:eastAsia="Times New Roman"/>
                <w:lang w:eastAsia="en-US"/>
              </w:rPr>
              <w:t>Nikolajs Čemodanovs</w:t>
            </w:r>
            <w:r>
              <w:rPr>
                <w:rFonts w:eastAsia="Times New Roman"/>
                <w:lang w:eastAsia="en-US"/>
              </w:rPr>
              <w:t>, tālr. 65425346, mob.</w:t>
            </w:r>
            <w:r w:rsidR="00AF1EE3">
              <w:rPr>
                <w:rFonts w:eastAsia="Times New Roman"/>
                <w:lang w:eastAsia="en-US"/>
              </w:rPr>
              <w:t>28210372</w:t>
            </w:r>
          </w:p>
          <w:p w:rsidR="00A02666" w:rsidRPr="00CF1BEC" w:rsidRDefault="00A02666" w:rsidP="00AF1EE3">
            <w:pPr>
              <w:suppressAutoHyphens/>
              <w:jc w:val="both"/>
              <w:rPr>
                <w:rFonts w:eastAsia="Times New Roman"/>
                <w:lang w:eastAsia="en-US"/>
              </w:rPr>
            </w:pPr>
            <w:r>
              <w:rPr>
                <w:rFonts w:eastAsia="Times New Roman"/>
                <w:lang w:eastAsia="en-US"/>
              </w:rPr>
              <w:t xml:space="preserve">e-pasts: </w:t>
            </w:r>
            <w:hyperlink r:id="rId8" w:history="1">
              <w:r w:rsidR="00B26ACE" w:rsidRPr="00F77016">
                <w:rPr>
                  <w:rStyle w:val="a4"/>
                  <w:rFonts w:eastAsia="Times New Roman"/>
                  <w:lang w:eastAsia="en-US"/>
                </w:rPr>
                <w:t>dbjss@daugavpils.edu.lv</w:t>
              </w:r>
            </w:hyperlink>
            <w:r w:rsidR="00AF1EE3">
              <w:rPr>
                <w:rStyle w:val="a4"/>
                <w:rFonts w:eastAsia="Times New Roman"/>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E26552" w:rsidP="006E7A19">
            <w:pPr>
              <w:suppressAutoHyphens/>
              <w:jc w:val="both"/>
              <w:rPr>
                <w:rFonts w:eastAsia="Times New Roman"/>
                <w:lang w:eastAsia="en-US"/>
              </w:rPr>
            </w:pPr>
            <w:r>
              <w:rPr>
                <w:rFonts w:eastAsia="Times New Roman"/>
                <w:lang w:eastAsia="en-US"/>
              </w:rPr>
              <w:t xml:space="preserve">Metodiķe </w:t>
            </w:r>
            <w:r w:rsidR="005614D0">
              <w:rPr>
                <w:rFonts w:eastAsia="Times New Roman"/>
                <w:lang w:eastAsia="en-US"/>
              </w:rPr>
              <w:t>Laura Vilcāne</w:t>
            </w:r>
            <w:r w:rsidR="00DE0361">
              <w:rPr>
                <w:rFonts w:eastAsia="Times New Roman"/>
                <w:lang w:eastAsia="en-US"/>
              </w:rPr>
              <w:t xml:space="preserve">, tālr. </w:t>
            </w:r>
            <w:r w:rsidR="005614D0">
              <w:rPr>
                <w:rFonts w:eastAsia="Times New Roman"/>
                <w:lang w:eastAsia="en-US"/>
              </w:rPr>
              <w:t>654-21807</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r w:rsidR="002C3D59">
              <w:rPr>
                <w:rStyle w:val="a4"/>
                <w:rFonts w:eastAsia="Times New Roman"/>
                <w:lang w:eastAsia="en-US"/>
              </w:rPr>
              <w:t xml:space="preserve"> laura.vilcane@daugavpils.</w:t>
            </w:r>
            <w:r w:rsidR="00B26ACE">
              <w:rPr>
                <w:rStyle w:val="a4"/>
                <w:rFonts w:eastAsia="Times New Roman"/>
                <w:lang w:eastAsia="en-US"/>
              </w:rPr>
              <w:t>edu.</w:t>
            </w:r>
            <w:r w:rsidR="002C3D59">
              <w:rPr>
                <w:rStyle w:val="a4"/>
                <w:rFonts w:eastAsia="Times New Roman"/>
                <w:lang w:eastAsia="en-US"/>
              </w:rPr>
              <w:t>lv</w:t>
            </w:r>
          </w:p>
        </w:tc>
      </w:tr>
    </w:tbl>
    <w:p w:rsidR="00B32FCF" w:rsidRDefault="00B32FCF" w:rsidP="000E676F">
      <w:pPr>
        <w:suppressAutoHyphens/>
        <w:rPr>
          <w:rFonts w:eastAsia="Times New Roman"/>
          <w:b/>
          <w:bCs/>
          <w:lang w:eastAsia="en-US"/>
        </w:rPr>
      </w:pPr>
    </w:p>
    <w:p w:rsidR="00B32FCF" w:rsidRDefault="001A0389" w:rsidP="00C52344">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B26ACE">
        <w:rPr>
          <w:rFonts w:eastAsia="Times New Roman"/>
          <w:bCs/>
          <w:lang w:eastAsia="en-US"/>
        </w:rPr>
        <w:t>Sacensību “Eiropas Meiteņu Basketbola Līga” organizēšana</w:t>
      </w:r>
      <w:r w:rsidR="00B644A6">
        <w:rPr>
          <w:rFonts w:eastAsia="Times New Roman"/>
          <w:bCs/>
          <w:lang w:eastAsia="en-US"/>
        </w:rPr>
        <w:t xml:space="preserve"> (tiesāšanas un apbalvojumu</w:t>
      </w:r>
      <w:r w:rsidR="00AC7728">
        <w:rPr>
          <w:rFonts w:eastAsia="Times New Roman"/>
          <w:bCs/>
          <w:lang w:eastAsia="en-US"/>
        </w:rPr>
        <w:t xml:space="preserve"> nodrošināšana)</w:t>
      </w:r>
      <w:r w:rsidR="00B26ACE">
        <w:rPr>
          <w:rFonts w:eastAsia="Times New Roman"/>
          <w:bCs/>
          <w:lang w:eastAsia="en-US"/>
        </w:rPr>
        <w:t xml:space="preserve">. </w:t>
      </w:r>
      <w:r w:rsidR="004F24FC">
        <w:rPr>
          <w:rFonts w:eastAsia="Times New Roman"/>
          <w:bCs/>
          <w:lang w:eastAsia="en-US"/>
        </w:rPr>
        <w:t xml:space="preserve"> </w:t>
      </w:r>
      <w:bookmarkStart w:id="0" w:name="_GoBack"/>
      <w:bookmarkEnd w:id="0"/>
    </w:p>
    <w:p w:rsidR="00DC254F" w:rsidRPr="00AC7728" w:rsidRDefault="001A0389" w:rsidP="00C7456D">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771249">
        <w:rPr>
          <w:rFonts w:eastAsia="Times New Roman"/>
          <w:bCs/>
          <w:lang w:eastAsia="en-US"/>
        </w:rPr>
        <w:t>kopējā līgumcena 2520,00 bez</w:t>
      </w:r>
      <w:r w:rsidR="00AC7728" w:rsidRPr="00AC7728">
        <w:rPr>
          <w:rFonts w:eastAsia="Times New Roman"/>
          <w:bCs/>
          <w:lang w:eastAsia="en-US"/>
        </w:rPr>
        <w:t xml:space="preserve"> PVN. </w:t>
      </w:r>
    </w:p>
    <w:p w:rsidR="00B32FCF" w:rsidRDefault="001A0389" w:rsidP="00C7456D">
      <w:pPr>
        <w:suppressAutoHyphens/>
        <w:rPr>
          <w:rFonts w:eastAsia="Times New Roman"/>
          <w:b/>
          <w:bCs/>
          <w:lang w:eastAsia="en-US"/>
        </w:rPr>
      </w:pPr>
      <w:r>
        <w:rPr>
          <w:rFonts w:eastAsia="Times New Roman"/>
          <w:b/>
          <w:bCs/>
          <w:lang w:eastAsia="en-US"/>
        </w:rPr>
        <w:t>4</w:t>
      </w:r>
      <w:r w:rsidR="00A02666">
        <w:rPr>
          <w:rFonts w:eastAsia="Times New Roman"/>
          <w:b/>
          <w:bCs/>
          <w:lang w:eastAsia="en-US"/>
        </w:rPr>
        <w:t xml:space="preserve">. Līguma izpildes termiņš: </w:t>
      </w:r>
      <w:r w:rsidR="00B26ACE">
        <w:rPr>
          <w:rFonts w:eastAsia="Times New Roman"/>
          <w:bCs/>
          <w:lang w:eastAsia="en-US"/>
        </w:rPr>
        <w:t xml:space="preserve">2022.gada 31.marts līdz 2022.gada 3.aprīlis. </w:t>
      </w:r>
    </w:p>
    <w:p w:rsidR="00C7456D" w:rsidRDefault="001A0389" w:rsidP="002C3D59">
      <w:pPr>
        <w:suppressAutoHyphens/>
        <w:rPr>
          <w:rFonts w:eastAsia="Times New Roman"/>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r w:rsidR="00106513">
        <w:rPr>
          <w:rFonts w:eastAsia="Times New Roman"/>
          <w:bCs/>
          <w:lang w:eastAsia="en-US"/>
        </w:rPr>
        <w:br/>
      </w:r>
      <w:r>
        <w:t>5</w:t>
      </w:r>
      <w:r w:rsidR="0084024C">
        <w:t>.1. Pretendent</w:t>
      </w:r>
      <w:r w:rsidR="006C32EB">
        <w:t>s</w:t>
      </w:r>
      <w:r w:rsidR="0084024C">
        <w:t xml:space="preserve"> ir reģistrēts Latvijas Republikas Uzņēmumu reģistrā vai līdzvērtīgā reģistrā </w:t>
      </w:r>
      <w:r w:rsidR="006C32EB">
        <w:t>ā</w:t>
      </w:r>
      <w:r w:rsidR="0084024C">
        <w:t>rvalstīs;</w:t>
      </w:r>
      <w:r w:rsidR="00106513">
        <w:rPr>
          <w:rFonts w:eastAsia="Times New Roman"/>
          <w:bCs/>
          <w:lang w:eastAsia="en-US"/>
        </w:rPr>
        <w:br/>
      </w:r>
      <w:r>
        <w:t>5</w:t>
      </w:r>
      <w:r w:rsidR="0084024C">
        <w:t>.2. Pretendentam ir pieredze tehniskajā specifikācijā minētā pakalpojuma sniegšanā;</w:t>
      </w:r>
      <w:r w:rsidR="00106513">
        <w:rPr>
          <w:rFonts w:eastAsia="Times New Roman"/>
          <w:bCs/>
          <w:lang w:eastAsia="en-US"/>
        </w:rPr>
        <w:br/>
      </w:r>
      <w:r>
        <w:t>5</w:t>
      </w:r>
      <w:r w:rsidR="0084024C">
        <w:t>.3. Pretendentam ir jābūt nodrošinātai mājas lapai, lai būtu iespēja iepazīties ar preču klāstu;</w:t>
      </w:r>
      <w:r w:rsidR="00106513">
        <w:rPr>
          <w:rFonts w:eastAsia="Times New Roman"/>
          <w:bCs/>
          <w:lang w:eastAsia="en-US"/>
        </w:rPr>
        <w:br/>
      </w:r>
      <w:r w:rsidR="009D5C71">
        <w:rPr>
          <w:rFonts w:eastAsia="Times New Roman"/>
          <w:bCs/>
          <w:lang w:eastAsia="en-US"/>
        </w:rPr>
        <w:t>5.4</w:t>
      </w:r>
      <w:r w:rsidR="00106513">
        <w:rPr>
          <w:rFonts w:eastAsia="Times New Roman"/>
          <w:bCs/>
          <w:lang w:eastAsia="en-US"/>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sidR="00C7456D">
        <w:rPr>
          <w:rFonts w:eastAsia="Times New Roman"/>
          <w:bCs/>
          <w:i/>
          <w:lang w:eastAsia="en-US"/>
        </w:rPr>
        <w:t xml:space="preserve">eur; </w:t>
      </w:r>
      <w:r w:rsidR="00C7456D">
        <w:rPr>
          <w:rFonts w:eastAsia="Times New Roman"/>
          <w:bCs/>
          <w:i/>
          <w:lang w:eastAsia="en-US"/>
        </w:rPr>
        <w:br/>
      </w:r>
      <w:r w:rsidR="009D5C71">
        <w:rPr>
          <w:rFonts w:eastAsia="Times New Roman"/>
          <w:bCs/>
          <w:lang w:eastAsia="en-US"/>
        </w:rPr>
        <w:t>5.5</w:t>
      </w:r>
      <w:r w:rsidR="00C7456D">
        <w:rPr>
          <w:rFonts w:eastAsia="Times New Roman"/>
          <w:bCs/>
          <w:lang w:eastAsia="en-US"/>
        </w:rPr>
        <w:t>. Pasūtītās preces jāpiegādā pēc adreses Kandavas iela 17a, Daugavpils;</w:t>
      </w:r>
    </w:p>
    <w:p w:rsidR="009D5C71" w:rsidRDefault="009D5C71" w:rsidP="00461DAB">
      <w:pPr>
        <w:suppressAutoHyphens/>
        <w:rPr>
          <w:rFonts w:eastAsia="Times New Roman"/>
          <w:bCs/>
          <w:lang w:eastAsia="en-US"/>
        </w:rPr>
      </w:pPr>
      <w:r>
        <w:rPr>
          <w:rFonts w:eastAsia="Times New Roman"/>
          <w:bCs/>
          <w:lang w:eastAsia="en-US"/>
        </w:rPr>
        <w:t>5.6</w:t>
      </w:r>
      <w:r w:rsidR="008140D8">
        <w:rPr>
          <w:rFonts w:eastAsia="Times New Roman"/>
          <w:bCs/>
          <w:lang w:eastAsia="en-US"/>
        </w:rPr>
        <w:t>. Preces jāpiegādā 40</w:t>
      </w:r>
      <w:r w:rsidR="00C7456D">
        <w:rPr>
          <w:rFonts w:eastAsia="Times New Roman"/>
          <w:bCs/>
          <w:lang w:eastAsia="en-US"/>
        </w:rPr>
        <w:t xml:space="preserve"> </w:t>
      </w:r>
      <w:r w:rsidR="00C26B23">
        <w:rPr>
          <w:rFonts w:eastAsia="Times New Roman"/>
          <w:bCs/>
          <w:lang w:eastAsia="en-US"/>
        </w:rPr>
        <w:t>dienu</w:t>
      </w:r>
      <w:r>
        <w:rPr>
          <w:rFonts w:eastAsia="Times New Roman"/>
          <w:bCs/>
          <w:lang w:eastAsia="en-US"/>
        </w:rPr>
        <w:t xml:space="preserve"> laikā pēc līguma noslēgšanas; </w:t>
      </w:r>
      <w:r w:rsidR="00C7456D">
        <w:rPr>
          <w:rFonts w:eastAsia="Times New Roman"/>
          <w:bCs/>
          <w:lang w:eastAsia="en-US"/>
        </w:rPr>
        <w:t xml:space="preserve"> </w:t>
      </w:r>
    </w:p>
    <w:p w:rsidR="00B32FCF" w:rsidRDefault="009D5C71" w:rsidP="00461DAB">
      <w:pPr>
        <w:suppressAutoHyphens/>
        <w:rPr>
          <w:rFonts w:eastAsia="Times New Roman"/>
          <w:b/>
          <w:bCs/>
          <w:lang w:eastAsia="en-US"/>
        </w:rPr>
      </w:pPr>
      <w:r>
        <w:rPr>
          <w:rFonts w:eastAsia="Times New Roman"/>
          <w:bCs/>
          <w:lang w:eastAsia="en-US"/>
        </w:rPr>
        <w:t xml:space="preserve">5.7. Precīzs pakalpojuma apraksts ir noteiks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r>
        <w:rPr>
          <w:rFonts w:eastAsia="Times New Roman"/>
          <w:bCs/>
          <w:lang w:eastAsia="en-US"/>
        </w:rPr>
        <w:br/>
      </w:r>
      <w:r w:rsidR="001A0389">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r w:rsidR="00B37E7D">
        <w:rPr>
          <w:rFonts w:eastAsia="Times New Roman"/>
          <w:bCs/>
          <w:lang w:eastAsia="en-US"/>
        </w:rPr>
        <w:br/>
      </w:r>
      <w:r w:rsidR="001A0389">
        <w:t>6</w:t>
      </w:r>
      <w:r w:rsidR="000B191D">
        <w:t>.1. Pretendenta</w:t>
      </w:r>
      <w:r w:rsidR="0084024C">
        <w:t xml:space="preserve"> sastādīts f</w:t>
      </w:r>
      <w:r w:rsidR="00334204">
        <w:t>inanšu/tehniskais piedāvājums (2</w:t>
      </w:r>
      <w:r w:rsidR="0084024C">
        <w:t>.pielikums)</w:t>
      </w:r>
      <w:r w:rsidR="00461DAB">
        <w:t>.</w:t>
      </w:r>
    </w:p>
    <w:p w:rsidR="00763752" w:rsidRPr="00CF1BEC" w:rsidRDefault="00B37E7D" w:rsidP="00461DAB">
      <w:pPr>
        <w:suppressAutoHyphens/>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2445">
        <w:rPr>
          <w:rFonts w:eastAsia="Times New Roman"/>
          <w:b/>
          <w:bCs/>
          <w:lang w:eastAsia="en-US"/>
        </w:rPr>
        <w:br/>
      </w:r>
      <w:r w:rsidR="003C2445" w:rsidRPr="003C2445">
        <w:rPr>
          <w:rFonts w:eastAsia="Times New Roman"/>
          <w:bCs/>
          <w:lang w:eastAsia="en-US"/>
        </w:rPr>
        <w:t>7.1.</w:t>
      </w:r>
      <w:r w:rsidR="003C2445">
        <w:rPr>
          <w:rFonts w:eastAsia="Times New Roman"/>
          <w:bCs/>
          <w:lang w:eastAsia="en-US"/>
        </w:rPr>
        <w:t xml:space="preserve">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r w:rsidR="003C2445">
        <w:rPr>
          <w:rFonts w:eastAsia="Times New Roman"/>
          <w:bCs/>
          <w:lang w:eastAsia="en-US"/>
        </w:rPr>
        <w:br/>
        <w:t>7.2. ja 2 vai vairākiem pretendentiem absolūti vienādi Finanšu piedāvājumi, kas atbilst visām tehniskajā specifikācijā norādītajām prasībām, tad pasūt</w:t>
      </w:r>
      <w:r w:rsidR="001020E3">
        <w:rPr>
          <w:rFonts w:eastAsia="Times New Roman"/>
          <w:bCs/>
          <w:lang w:eastAsia="en-US"/>
        </w:rPr>
        <w:t>ītājam ir tiesības veikt izlozi;</w:t>
      </w:r>
      <w:r w:rsidR="001020E3">
        <w:rPr>
          <w:rFonts w:eastAsia="Times New Roman"/>
          <w:bCs/>
          <w:lang w:eastAsia="en-US"/>
        </w:rPr>
        <w:br/>
        <w:t xml:space="preserve">7.3. </w:t>
      </w:r>
      <w:r w:rsidR="001020E3">
        <w:rPr>
          <w:shd w:val="clear" w:color="auto" w:fill="FFFFFF"/>
        </w:rPr>
        <w:t>p</w:t>
      </w:r>
      <w:r w:rsidR="001020E3" w:rsidRPr="001020E3">
        <w:rPr>
          <w:shd w:val="clear" w:color="auto" w:fill="FFFFFF"/>
        </w:rPr>
        <w:t xml:space="preserve">iedāvājumu vērtēšanas gaitā pasūtītājs ir tiesīgs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w:t>
      </w:r>
    </w:p>
    <w:p w:rsidR="00763752" w:rsidRPr="00EA5AA3" w:rsidRDefault="001A0389" w:rsidP="00461DAB">
      <w:pPr>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461DAB">
        <w:rPr>
          <w:rFonts w:eastAsia="Times New Roman"/>
          <w:b/>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B26ACE">
        <w:rPr>
          <w:rFonts w:eastAsia="Times New Roman"/>
          <w:b/>
          <w:bCs/>
          <w:lang w:eastAsia="en-US"/>
        </w:rPr>
        <w:t xml:space="preserve"> 2022</w:t>
      </w:r>
      <w:r w:rsidR="00763752" w:rsidRPr="005614D0">
        <w:rPr>
          <w:rFonts w:eastAsia="Times New Roman"/>
          <w:b/>
          <w:bCs/>
          <w:lang w:eastAsia="en-US"/>
        </w:rPr>
        <w:t>.</w:t>
      </w:r>
      <w:r w:rsidR="00A30BE5">
        <w:rPr>
          <w:rFonts w:eastAsia="Times New Roman"/>
          <w:b/>
          <w:bCs/>
          <w:lang w:eastAsia="en-US"/>
        </w:rPr>
        <w:t xml:space="preserve"> </w:t>
      </w:r>
      <w:r w:rsidR="00763752" w:rsidRPr="005614D0">
        <w:rPr>
          <w:rFonts w:eastAsia="Times New Roman"/>
          <w:b/>
          <w:bCs/>
          <w:lang w:eastAsia="en-US"/>
        </w:rPr>
        <w:t xml:space="preserve">gada </w:t>
      </w:r>
      <w:r w:rsidR="008E71D5">
        <w:rPr>
          <w:rFonts w:eastAsia="Times New Roman"/>
          <w:b/>
          <w:bCs/>
          <w:lang w:eastAsia="en-US"/>
        </w:rPr>
        <w:t>23</w:t>
      </w:r>
      <w:r w:rsidR="00B26ACE">
        <w:rPr>
          <w:rFonts w:eastAsia="Times New Roman"/>
          <w:b/>
          <w:bCs/>
          <w:lang w:eastAsia="en-US"/>
        </w:rPr>
        <w:t>.martam</w:t>
      </w:r>
      <w:r w:rsidR="00C369F4" w:rsidRPr="005614D0">
        <w:rPr>
          <w:rFonts w:eastAsia="Times New Roman"/>
          <w:b/>
          <w:bCs/>
          <w:lang w:eastAsia="en-US"/>
        </w:rPr>
        <w:t>,</w:t>
      </w:r>
      <w:r w:rsidR="00763752" w:rsidRPr="005614D0">
        <w:rPr>
          <w:rFonts w:eastAsia="Times New Roman"/>
          <w:b/>
          <w:bCs/>
          <w:lang w:eastAsia="en-US"/>
        </w:rPr>
        <w:t xml:space="preserve"> plkst.</w:t>
      </w:r>
      <w:r w:rsidR="00A30BE5">
        <w:rPr>
          <w:rFonts w:eastAsia="Times New Roman"/>
          <w:b/>
          <w:bCs/>
          <w:lang w:eastAsia="en-US"/>
        </w:rPr>
        <w:t xml:space="preserve"> </w:t>
      </w:r>
      <w:r w:rsidR="004D24FD" w:rsidRPr="005614D0">
        <w:rPr>
          <w:rFonts w:eastAsia="Times New Roman"/>
          <w:b/>
          <w:bCs/>
          <w:lang w:eastAsia="en-US"/>
        </w:rPr>
        <w:t>1</w:t>
      </w:r>
      <w:r w:rsidR="00635351">
        <w:rPr>
          <w:rFonts w:eastAsia="Times New Roman"/>
          <w:b/>
          <w:bCs/>
          <w:lang w:eastAsia="en-US"/>
        </w:rPr>
        <w:t>2</w:t>
      </w:r>
      <w:r w:rsidR="004D24FD" w:rsidRPr="005614D0">
        <w:rPr>
          <w:rFonts w:eastAsia="Times New Roman"/>
          <w:b/>
          <w:bCs/>
          <w:lang w:eastAsia="en-US"/>
        </w:rPr>
        <w:t>.00</w:t>
      </w:r>
    </w:p>
    <w:p w:rsidR="0084024C" w:rsidRPr="0084024C" w:rsidRDefault="001A0389" w:rsidP="00461DAB">
      <w:pPr>
        <w:rPr>
          <w:rFonts w:eastAsia="Times New Roman"/>
          <w:bCs/>
          <w:lang w:eastAsia="en-US"/>
        </w:rPr>
      </w:pPr>
      <w:r>
        <w:rPr>
          <w:rFonts w:eastAsia="Times New Roman"/>
          <w:b/>
          <w:bCs/>
          <w:lang w:eastAsia="en-US"/>
        </w:rPr>
        <w:t>9</w:t>
      </w:r>
      <w:r w:rsidR="0084024C">
        <w:rPr>
          <w:rFonts w:eastAsia="Times New Roman"/>
          <w:b/>
          <w:bCs/>
          <w:lang w:eastAsia="en-US"/>
        </w:rPr>
        <w:t>.</w:t>
      </w:r>
      <w:r w:rsidR="00A94094" w:rsidRPr="00461DAB">
        <w:rPr>
          <w:rFonts w:eastAsia="Times New Roman"/>
          <w:b/>
          <w:bCs/>
          <w:lang w:eastAsia="en-US"/>
        </w:rPr>
        <w:t>Piedāvājumu</w:t>
      </w:r>
      <w:r w:rsidR="0084024C" w:rsidRPr="00461DAB">
        <w:rPr>
          <w:rFonts w:eastAsia="Times New Roman"/>
          <w:b/>
          <w:bCs/>
          <w:lang w:eastAsia="en-US"/>
        </w:rPr>
        <w:t xml:space="preserve"> var iesniegt</w:t>
      </w:r>
      <w:r w:rsidR="0084024C">
        <w:rPr>
          <w:rFonts w:eastAsia="Times New Roman"/>
          <w:bCs/>
          <w:lang w:eastAsia="en-US"/>
        </w:rPr>
        <w:t>:</w:t>
      </w:r>
      <w:r w:rsidR="00B37E7D">
        <w:rPr>
          <w:rFonts w:eastAsia="Times New Roman"/>
          <w:bCs/>
          <w:lang w:eastAsia="en-US"/>
        </w:rPr>
        <w:br/>
      </w:r>
      <w:r>
        <w:rPr>
          <w:rFonts w:eastAsia="Times New Roman"/>
          <w:bCs/>
          <w:lang w:eastAsia="en-US"/>
        </w:rPr>
        <w:t>9</w:t>
      </w:r>
      <w:r w:rsidR="0084024C">
        <w:rPr>
          <w:rFonts w:eastAsia="Times New Roman"/>
          <w:bCs/>
          <w:lang w:eastAsia="en-US"/>
        </w:rPr>
        <w:t>.1.</w:t>
      </w:r>
      <w:r w:rsidR="00B37E7D">
        <w:rPr>
          <w:rFonts w:eastAsia="Times New Roman"/>
          <w:bCs/>
          <w:lang w:eastAsia="en-US"/>
        </w:rPr>
        <w:t xml:space="preserve"> </w:t>
      </w:r>
      <w:r w:rsidR="0084024C">
        <w:rPr>
          <w:rFonts w:eastAsia="Times New Roman"/>
          <w:bCs/>
          <w:lang w:eastAsia="en-US"/>
        </w:rPr>
        <w:t>personīgi, vai pa pastu pēc adreses Kandavas ielā 17a, Daugavpilī (3.stāvs, kab.305)</w:t>
      </w:r>
      <w:r w:rsidR="00B37E7D">
        <w:rPr>
          <w:rFonts w:eastAsia="Times New Roman"/>
          <w:bCs/>
          <w:lang w:eastAsia="en-US"/>
        </w:rPr>
        <w:br/>
      </w:r>
      <w:r>
        <w:rPr>
          <w:rFonts w:eastAsia="Times New Roman"/>
          <w:bCs/>
          <w:lang w:eastAsia="en-US"/>
        </w:rPr>
        <w:t>9</w:t>
      </w:r>
      <w:r w:rsidR="0084024C">
        <w:rPr>
          <w:rFonts w:eastAsia="Times New Roman"/>
          <w:bCs/>
          <w:lang w:eastAsia="en-US"/>
        </w:rPr>
        <w:t>.2.</w:t>
      </w:r>
      <w:r w:rsidR="00B37E7D">
        <w:rPr>
          <w:rFonts w:eastAsia="Times New Roman"/>
          <w:bCs/>
          <w:lang w:eastAsia="en-US"/>
        </w:rPr>
        <w:t xml:space="preserve"> </w:t>
      </w:r>
      <w:r w:rsidR="0084024C">
        <w:rPr>
          <w:rFonts w:eastAsia="Times New Roman"/>
          <w:bCs/>
          <w:lang w:eastAsia="en-US"/>
        </w:rPr>
        <w:t xml:space="preserve">elektroniski (e-pasts: </w:t>
      </w:r>
      <w:hyperlink r:id="rId9" w:history="1">
        <w:r w:rsidR="00B26ACE" w:rsidRPr="00F77016">
          <w:rPr>
            <w:rStyle w:val="a4"/>
            <w:rFonts w:eastAsia="Times New Roman"/>
            <w:lang w:eastAsia="en-US"/>
          </w:rPr>
          <w:t>dbjss@daugavpils.edu.lv</w:t>
        </w:r>
      </w:hyperlink>
      <w:r w:rsidR="00AF1EE3">
        <w:rPr>
          <w:rStyle w:val="a4"/>
          <w:rFonts w:eastAsia="Times New Roman"/>
          <w:lang w:eastAsia="en-US"/>
        </w:rPr>
        <w:t xml:space="preserve"> </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E57939">
        <w:t>tiks ievietots Daugavpils pilsētas domes</w:t>
      </w:r>
      <w:r w:rsidR="009C0406">
        <w:t xml:space="preserve"> tīmekļa vietnē </w:t>
      </w:r>
      <w:hyperlink r:id="rId10"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lastRenderedPageBreak/>
        <w:t>P</w:t>
      </w:r>
      <w:r w:rsidR="00763752" w:rsidRPr="00CF1BEC">
        <w:rPr>
          <w:rFonts w:eastAsia="Times New Roman"/>
          <w:bCs/>
          <w:caps/>
          <w:lang w:eastAsia="en-US"/>
        </w:rPr>
        <w:t>ielikumā:</w:t>
      </w:r>
    </w:p>
    <w:p w:rsid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CF1BEC">
        <w:rPr>
          <w:rFonts w:eastAsia="Times New Roman"/>
          <w:bCs/>
          <w:lang w:eastAsia="en-US"/>
        </w:rPr>
        <w:t>Tehniskā specifikācija;</w:t>
      </w:r>
    </w:p>
    <w:p w:rsidR="00B102D2" w:rsidRP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106513">
        <w:rPr>
          <w:rFonts w:eastAsia="Times New Roman"/>
          <w:lang w:eastAsia="ar-SA"/>
        </w:rPr>
        <w:t>Finanšu-tehniskā piedāvājuma forma.</w:t>
      </w:r>
      <w:bookmarkStart w:id="1" w:name="OLE_LINK1"/>
      <w:bookmarkStart w:id="2" w:name="OLE_LINK2"/>
    </w:p>
    <w:p w:rsidR="00A76849" w:rsidRDefault="00A76849" w:rsidP="008E3D70">
      <w:pPr>
        <w:spacing w:after="200" w:line="276" w:lineRule="auto"/>
        <w:jc w:val="right"/>
        <w:rPr>
          <w:b/>
        </w:rPr>
      </w:pPr>
    </w:p>
    <w:p w:rsidR="00591BF8" w:rsidRDefault="00591BF8"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B26ACE" w:rsidRDefault="00B26ACE" w:rsidP="008E3D70">
      <w:pPr>
        <w:spacing w:after="200" w:line="276" w:lineRule="auto"/>
        <w:jc w:val="right"/>
        <w:rPr>
          <w:b/>
        </w:rPr>
      </w:pPr>
    </w:p>
    <w:p w:rsidR="00B26ACE" w:rsidRDefault="00B26ACE" w:rsidP="008E3D70">
      <w:pPr>
        <w:spacing w:after="200" w:line="276" w:lineRule="auto"/>
        <w:jc w:val="right"/>
        <w:rPr>
          <w:b/>
        </w:rPr>
      </w:pPr>
    </w:p>
    <w:p w:rsidR="00B26ACE" w:rsidRDefault="00B26ACE" w:rsidP="008E3D70">
      <w:pPr>
        <w:spacing w:after="200" w:line="276" w:lineRule="auto"/>
        <w:jc w:val="right"/>
        <w:rPr>
          <w:b/>
        </w:rPr>
      </w:pPr>
    </w:p>
    <w:p w:rsidR="00D94404" w:rsidRDefault="00334204" w:rsidP="008E3D70">
      <w:pPr>
        <w:spacing w:after="200" w:line="276" w:lineRule="auto"/>
        <w:jc w:val="right"/>
        <w:rPr>
          <w:b/>
        </w:rPr>
      </w:pPr>
      <w:r>
        <w:rPr>
          <w:b/>
        </w:rPr>
        <w:lastRenderedPageBreak/>
        <w:t>1</w:t>
      </w:r>
      <w:r w:rsidR="00D94404" w:rsidRPr="00B102D2">
        <w:rPr>
          <w:b/>
        </w:rPr>
        <w:t>.pielikums</w:t>
      </w:r>
    </w:p>
    <w:p w:rsidR="009763F3" w:rsidRDefault="009763F3" w:rsidP="00B102D2">
      <w:pPr>
        <w:pStyle w:val="a6"/>
        <w:ind w:firstLine="720"/>
        <w:jc w:val="right"/>
        <w:rPr>
          <w:b/>
        </w:rPr>
      </w:pPr>
    </w:p>
    <w:p w:rsidR="009763F3" w:rsidRPr="00B102D2" w:rsidRDefault="009763F3" w:rsidP="00B102D2">
      <w:pPr>
        <w:pStyle w:val="a6"/>
        <w:ind w:firstLine="720"/>
        <w:jc w:val="right"/>
        <w:rPr>
          <w:b/>
        </w:rPr>
      </w:pPr>
    </w:p>
    <w:p w:rsidR="00D94404" w:rsidRDefault="00926E03" w:rsidP="00D94404">
      <w:pPr>
        <w:jc w:val="center"/>
        <w:rPr>
          <w:b/>
        </w:rPr>
      </w:pPr>
      <w:r w:rsidRPr="00926E03">
        <w:rPr>
          <w:b/>
        </w:rPr>
        <w:t>TEHNISKĀ SPECIFIKĀCIJA</w:t>
      </w:r>
    </w:p>
    <w:p w:rsidR="00DC254F" w:rsidRDefault="00DC254F" w:rsidP="000B191D">
      <w:pPr>
        <w:jc w:val="both"/>
      </w:pPr>
    </w:p>
    <w:p w:rsidR="00DC254F" w:rsidRDefault="00DC254F" w:rsidP="00DC254F">
      <w:pPr>
        <w:jc w:val="both"/>
      </w:pPr>
      <w:r w:rsidRPr="00D94404">
        <w:rPr>
          <w:b/>
        </w:rPr>
        <w:t xml:space="preserve">Veicamā darba uzdevumi: </w:t>
      </w:r>
      <w:r>
        <w:t>basketbola sacensību organizēšana</w:t>
      </w:r>
      <w:r w:rsidR="00AC7728">
        <w:t xml:space="preserve"> – sacensību tiesāšanas un apbalvojumu nodrošināšana</w:t>
      </w:r>
      <w:r>
        <w:t>;</w:t>
      </w:r>
    </w:p>
    <w:p w:rsidR="00DC254F" w:rsidRDefault="00DC254F" w:rsidP="00DC254F">
      <w:pPr>
        <w:suppressAutoHyphens/>
        <w:jc w:val="both"/>
        <w:rPr>
          <w:rFonts w:eastAsia="Times New Roman"/>
          <w:bCs/>
          <w:lang w:eastAsia="en-US"/>
        </w:rPr>
      </w:pPr>
      <w:r w:rsidRPr="00D94404">
        <w:rPr>
          <w:b/>
        </w:rPr>
        <w:t xml:space="preserve">Pasūtījuma izpildināšana: </w:t>
      </w:r>
      <w:r>
        <w:rPr>
          <w:rFonts w:eastAsia="Times New Roman"/>
          <w:bCs/>
          <w:lang w:eastAsia="en-US"/>
        </w:rPr>
        <w:t xml:space="preserve">2022.gada 31.marts – 3.aprīlis; </w:t>
      </w:r>
    </w:p>
    <w:p w:rsidR="00DC254F" w:rsidRDefault="00DC254F" w:rsidP="00DC254F">
      <w:pPr>
        <w:suppressAutoHyphens/>
        <w:jc w:val="both"/>
        <w:rPr>
          <w:rFonts w:eastAsia="Times New Roman"/>
          <w:bCs/>
          <w:lang w:eastAsia="en-US"/>
        </w:rPr>
      </w:pPr>
      <w:r w:rsidRPr="00B26ACE">
        <w:rPr>
          <w:rFonts w:eastAsia="Times New Roman"/>
          <w:b/>
          <w:bCs/>
          <w:lang w:eastAsia="en-US"/>
        </w:rPr>
        <w:t>Sacensību norises vieta:</w:t>
      </w:r>
      <w:r>
        <w:rPr>
          <w:rFonts w:eastAsia="Times New Roman"/>
          <w:bCs/>
          <w:lang w:eastAsia="en-US"/>
        </w:rPr>
        <w:t xml:space="preserve"> Stadiona iela 1, Daugavpils. </w:t>
      </w:r>
    </w:p>
    <w:p w:rsidR="00DC254F" w:rsidRDefault="00DC254F" w:rsidP="00926E03">
      <w:pPr>
        <w:jc w:val="both"/>
        <w:rPr>
          <w:b/>
        </w:rPr>
      </w:pPr>
    </w:p>
    <w:tbl>
      <w:tblPr>
        <w:tblStyle w:val="a5"/>
        <w:tblW w:w="9493" w:type="dxa"/>
        <w:jc w:val="center"/>
        <w:tblLayout w:type="fixed"/>
        <w:tblLook w:val="04A0" w:firstRow="1" w:lastRow="0" w:firstColumn="1" w:lastColumn="0" w:noHBand="0" w:noVBand="1"/>
      </w:tblPr>
      <w:tblGrid>
        <w:gridCol w:w="846"/>
        <w:gridCol w:w="1984"/>
        <w:gridCol w:w="6663"/>
      </w:tblGrid>
      <w:tr w:rsidR="00B644A6" w:rsidTr="00B644A6">
        <w:trPr>
          <w:jc w:val="center"/>
        </w:trPr>
        <w:tc>
          <w:tcPr>
            <w:tcW w:w="846" w:type="dxa"/>
            <w:vAlign w:val="center"/>
          </w:tcPr>
          <w:p w:rsidR="00B644A6" w:rsidRPr="007945FC" w:rsidRDefault="00B644A6" w:rsidP="00C64721">
            <w:pPr>
              <w:jc w:val="center"/>
              <w:rPr>
                <w:b/>
                <w:sz w:val="22"/>
                <w:szCs w:val="22"/>
              </w:rPr>
            </w:pPr>
            <w:r w:rsidRPr="007945FC">
              <w:rPr>
                <w:b/>
                <w:sz w:val="22"/>
                <w:szCs w:val="22"/>
              </w:rPr>
              <w:t>Nr.</w:t>
            </w:r>
            <w:r>
              <w:rPr>
                <w:b/>
                <w:sz w:val="22"/>
                <w:szCs w:val="22"/>
              </w:rPr>
              <w:t xml:space="preserve"> </w:t>
            </w:r>
            <w:r w:rsidRPr="007945FC">
              <w:rPr>
                <w:b/>
                <w:sz w:val="22"/>
                <w:szCs w:val="22"/>
              </w:rPr>
              <w:t>p.k.</w:t>
            </w:r>
          </w:p>
        </w:tc>
        <w:tc>
          <w:tcPr>
            <w:tcW w:w="1984" w:type="dxa"/>
            <w:vAlign w:val="center"/>
          </w:tcPr>
          <w:p w:rsidR="00B644A6" w:rsidRPr="00A22DE1" w:rsidRDefault="00B644A6" w:rsidP="00C64721">
            <w:pPr>
              <w:jc w:val="center"/>
              <w:rPr>
                <w:b/>
              </w:rPr>
            </w:pPr>
            <w:r w:rsidRPr="00A22DE1">
              <w:rPr>
                <w:b/>
              </w:rPr>
              <w:t>Nosaukums</w:t>
            </w:r>
          </w:p>
        </w:tc>
        <w:tc>
          <w:tcPr>
            <w:tcW w:w="6663" w:type="dxa"/>
            <w:vAlign w:val="center"/>
          </w:tcPr>
          <w:p w:rsidR="00B644A6" w:rsidRPr="00A22DE1" w:rsidRDefault="00B644A6" w:rsidP="00C64721">
            <w:pPr>
              <w:jc w:val="center"/>
              <w:rPr>
                <w:b/>
              </w:rPr>
            </w:pPr>
            <w:r w:rsidRPr="00A22DE1">
              <w:rPr>
                <w:b/>
              </w:rPr>
              <w:t>Apraksts</w:t>
            </w:r>
          </w:p>
        </w:tc>
      </w:tr>
      <w:tr w:rsidR="00B644A6" w:rsidTr="00B644A6">
        <w:trPr>
          <w:jc w:val="center"/>
        </w:trPr>
        <w:tc>
          <w:tcPr>
            <w:tcW w:w="846" w:type="dxa"/>
            <w:vAlign w:val="center"/>
          </w:tcPr>
          <w:p w:rsidR="00B644A6" w:rsidRDefault="00B644A6" w:rsidP="00DC254F">
            <w:r>
              <w:t>1.</w:t>
            </w:r>
          </w:p>
        </w:tc>
        <w:tc>
          <w:tcPr>
            <w:tcW w:w="1984" w:type="dxa"/>
          </w:tcPr>
          <w:p w:rsidR="00B644A6" w:rsidRDefault="00B644A6" w:rsidP="00C64721">
            <w:pPr>
              <w:spacing w:before="100" w:beforeAutospacing="1" w:after="100" w:afterAutospacing="1"/>
              <w:jc w:val="center"/>
              <w:rPr>
                <w:b/>
              </w:rPr>
            </w:pPr>
          </w:p>
          <w:p w:rsidR="00B644A6" w:rsidRPr="002D1062" w:rsidRDefault="00B644A6" w:rsidP="00C64721">
            <w:pPr>
              <w:spacing w:before="100" w:beforeAutospacing="1" w:after="100" w:afterAutospacing="1"/>
              <w:jc w:val="center"/>
              <w:rPr>
                <w:b/>
              </w:rPr>
            </w:pPr>
            <w:r w:rsidRPr="002D1062">
              <w:rPr>
                <w:b/>
              </w:rPr>
              <w:t>Tiesāšana</w:t>
            </w:r>
          </w:p>
        </w:tc>
        <w:tc>
          <w:tcPr>
            <w:tcW w:w="6663" w:type="dxa"/>
          </w:tcPr>
          <w:p w:rsidR="00B644A6" w:rsidRPr="00113350" w:rsidRDefault="00B644A6" w:rsidP="00C64721">
            <w:pPr>
              <w:pStyle w:val="a6"/>
              <w:numPr>
                <w:ilvl w:val="0"/>
                <w:numId w:val="16"/>
              </w:numPr>
              <w:suppressAutoHyphens/>
              <w:spacing w:before="100" w:beforeAutospacing="1" w:after="100" w:afterAutospacing="1"/>
              <w:ind w:left="321"/>
              <w:contextualSpacing w:val="0"/>
              <w:rPr>
                <w:color w:val="000000" w:themeColor="text1"/>
              </w:rPr>
            </w:pPr>
            <w:r w:rsidRPr="00970E2F">
              <w:t xml:space="preserve">EGBL var </w:t>
            </w:r>
            <w:r w:rsidRPr="00113350">
              <w:rPr>
                <w:color w:val="000000" w:themeColor="text1"/>
              </w:rPr>
              <w:t>tiesāt tikai Latvi</w:t>
            </w:r>
            <w:r>
              <w:rPr>
                <w:color w:val="000000" w:themeColor="text1"/>
              </w:rPr>
              <w:t>jas basketbola savienības licenc</w:t>
            </w:r>
            <w:r w:rsidRPr="00113350">
              <w:rPr>
                <w:color w:val="000000" w:themeColor="text1"/>
              </w:rPr>
              <w:t>ēti tiesneši, kā arī tiesneši, kas ieradušies delegāciju sastāvos</w:t>
            </w:r>
          </w:p>
          <w:p w:rsidR="00B644A6" w:rsidRPr="00113350" w:rsidRDefault="00B644A6" w:rsidP="00C64721">
            <w:pPr>
              <w:pStyle w:val="a6"/>
              <w:numPr>
                <w:ilvl w:val="0"/>
                <w:numId w:val="16"/>
              </w:numPr>
              <w:suppressAutoHyphens/>
              <w:spacing w:before="100" w:beforeAutospacing="1" w:after="100" w:afterAutospacing="1"/>
              <w:ind w:left="321"/>
              <w:contextualSpacing w:val="0"/>
              <w:rPr>
                <w:color w:val="000000" w:themeColor="text1"/>
              </w:rPr>
            </w:pPr>
            <w:r w:rsidRPr="00113350">
              <w:rPr>
                <w:rFonts w:eastAsiaTheme="minorHAnsi"/>
                <w:bCs/>
                <w:color w:val="000000"/>
                <w:lang w:eastAsia="en-US"/>
              </w:rPr>
              <w:t>Nodrošināt</w:t>
            </w:r>
            <w:r w:rsidRPr="00113350">
              <w:rPr>
                <w:rFonts w:eastAsiaTheme="minorHAnsi"/>
                <w:b/>
                <w:bCs/>
                <w:color w:val="000000"/>
                <w:lang w:eastAsia="en-US"/>
              </w:rPr>
              <w:t xml:space="preserve"> </w:t>
            </w:r>
            <w:r w:rsidRPr="00113350">
              <w:rPr>
                <w:rFonts w:eastAsiaTheme="minorHAnsi"/>
                <w:color w:val="000000"/>
                <w:lang w:eastAsia="en-US"/>
              </w:rPr>
              <w:t xml:space="preserve">uz katru spēli: </w:t>
            </w:r>
          </w:p>
          <w:p w:rsidR="00B644A6" w:rsidRPr="00113350" w:rsidRDefault="00B644A6" w:rsidP="00B644A6">
            <w:pPr>
              <w:rPr>
                <w:color w:val="000000" w:themeColor="text1"/>
              </w:rPr>
            </w:pPr>
            <w:r w:rsidRPr="00970E2F">
              <w:rPr>
                <w:rFonts w:eastAsiaTheme="minorHAnsi"/>
                <w:color w:val="000000"/>
                <w:lang w:eastAsia="en-US"/>
              </w:rPr>
              <w:t>• sekretariāts</w:t>
            </w:r>
            <w:r>
              <w:rPr>
                <w:rFonts w:eastAsiaTheme="minorHAnsi"/>
                <w:color w:val="000000"/>
                <w:lang w:eastAsia="en-US"/>
              </w:rPr>
              <w:t xml:space="preserve"> (4cilv.x 3dn)</w:t>
            </w:r>
            <w:r w:rsidRPr="00970E2F">
              <w:rPr>
                <w:rFonts w:eastAsiaTheme="minorHAnsi"/>
                <w:color w:val="000000"/>
                <w:lang w:eastAsia="en-US"/>
              </w:rPr>
              <w:t xml:space="preserve">; </w:t>
            </w:r>
          </w:p>
          <w:p w:rsidR="00B644A6" w:rsidRPr="00970E2F" w:rsidRDefault="00B644A6" w:rsidP="00B644A6">
            <w:pPr>
              <w:autoSpaceDE w:val="0"/>
              <w:autoSpaceDN w:val="0"/>
              <w:adjustRightInd w:val="0"/>
              <w:rPr>
                <w:rFonts w:eastAsiaTheme="minorHAnsi"/>
                <w:color w:val="000000"/>
                <w:lang w:eastAsia="en-US"/>
              </w:rPr>
            </w:pPr>
            <w:r w:rsidRPr="00970E2F">
              <w:rPr>
                <w:rFonts w:eastAsiaTheme="minorHAnsi"/>
                <w:color w:val="000000"/>
                <w:lang w:eastAsia="en-US"/>
              </w:rPr>
              <w:t xml:space="preserve">• tiesneši; </w:t>
            </w:r>
            <w:r>
              <w:rPr>
                <w:rFonts w:eastAsiaTheme="minorHAnsi"/>
                <w:color w:val="000000"/>
                <w:lang w:eastAsia="en-US"/>
              </w:rPr>
              <w:t>(10cilv. x 3dn);</w:t>
            </w:r>
          </w:p>
          <w:p w:rsidR="00B644A6" w:rsidRPr="00970E2F" w:rsidRDefault="00B644A6" w:rsidP="00B644A6">
            <w:pPr>
              <w:autoSpaceDE w:val="0"/>
              <w:autoSpaceDN w:val="0"/>
              <w:adjustRightInd w:val="0"/>
              <w:rPr>
                <w:rFonts w:eastAsiaTheme="minorHAnsi"/>
                <w:color w:val="000000"/>
                <w:lang w:eastAsia="en-US"/>
              </w:rPr>
            </w:pPr>
          </w:p>
          <w:p w:rsidR="00B644A6" w:rsidRPr="00970E2F" w:rsidRDefault="00B644A6" w:rsidP="00B644A6">
            <w:pPr>
              <w:autoSpaceDE w:val="0"/>
              <w:autoSpaceDN w:val="0"/>
              <w:adjustRightInd w:val="0"/>
              <w:rPr>
                <w:rFonts w:eastAsiaTheme="minorHAnsi"/>
                <w:color w:val="000000"/>
                <w:lang w:eastAsia="en-US"/>
              </w:rPr>
            </w:pPr>
            <w:r w:rsidRPr="00970E2F">
              <w:rPr>
                <w:rFonts w:eastAsiaTheme="minorHAnsi"/>
                <w:color w:val="000000"/>
                <w:lang w:eastAsia="en-US"/>
              </w:rPr>
              <w:t xml:space="preserve">• tehnisko protokolu, arī </w:t>
            </w:r>
            <w:r w:rsidRPr="00970E2F">
              <w:rPr>
                <w:rFonts w:eastAsiaTheme="minorHAnsi"/>
                <w:i/>
                <w:iCs/>
                <w:color w:val="000000"/>
                <w:lang w:eastAsia="en-US"/>
              </w:rPr>
              <w:t xml:space="preserve">online </w:t>
            </w:r>
            <w:r w:rsidRPr="00970E2F">
              <w:rPr>
                <w:rFonts w:eastAsiaTheme="minorHAnsi"/>
                <w:color w:val="000000"/>
                <w:lang w:eastAsia="en-US"/>
              </w:rPr>
              <w:t xml:space="preserve">režīmā, izmantojot FIBA </w:t>
            </w:r>
            <w:r w:rsidRPr="00970E2F">
              <w:rPr>
                <w:rFonts w:eastAsiaTheme="minorHAnsi"/>
                <w:i/>
                <w:iCs/>
                <w:color w:val="000000"/>
                <w:lang w:eastAsia="en-US"/>
              </w:rPr>
              <w:t xml:space="preserve">LiveStats </w:t>
            </w:r>
            <w:r w:rsidRPr="00970E2F">
              <w:rPr>
                <w:rFonts w:eastAsiaTheme="minorHAnsi"/>
                <w:color w:val="000000"/>
                <w:lang w:eastAsia="en-US"/>
              </w:rPr>
              <w:t xml:space="preserve">programmu; </w:t>
            </w:r>
          </w:p>
          <w:p w:rsidR="00B644A6" w:rsidRPr="00970E2F" w:rsidRDefault="00B644A6" w:rsidP="00B644A6">
            <w:pPr>
              <w:autoSpaceDE w:val="0"/>
              <w:autoSpaceDN w:val="0"/>
              <w:adjustRightInd w:val="0"/>
              <w:rPr>
                <w:rFonts w:eastAsiaTheme="minorHAnsi"/>
                <w:color w:val="000000"/>
                <w:lang w:eastAsia="en-US"/>
              </w:rPr>
            </w:pPr>
            <w:r w:rsidRPr="00970E2F">
              <w:rPr>
                <w:rFonts w:eastAsiaTheme="minorHAnsi"/>
                <w:color w:val="000000"/>
                <w:lang w:eastAsia="en-US"/>
              </w:rPr>
              <w:t xml:space="preserve">• dzeramo ūdeni komandām (uz katru spēli minimums 9 litri katrai komandai); </w:t>
            </w:r>
          </w:p>
          <w:p w:rsidR="00B644A6" w:rsidRPr="00970E2F" w:rsidRDefault="00B644A6" w:rsidP="00B644A6">
            <w:pPr>
              <w:autoSpaceDE w:val="0"/>
              <w:autoSpaceDN w:val="0"/>
              <w:adjustRightInd w:val="0"/>
              <w:rPr>
                <w:rFonts w:eastAsiaTheme="minorHAnsi"/>
                <w:color w:val="000000"/>
                <w:lang w:eastAsia="en-US"/>
              </w:rPr>
            </w:pPr>
            <w:r w:rsidRPr="00970E2F">
              <w:rPr>
                <w:rFonts w:eastAsiaTheme="minorHAnsi"/>
                <w:color w:val="000000"/>
                <w:lang w:eastAsia="en-US"/>
              </w:rPr>
              <w:t xml:space="preserve">• medicīnas personālu. </w:t>
            </w:r>
          </w:p>
          <w:p w:rsidR="00B644A6" w:rsidRPr="00970E2F" w:rsidRDefault="00B644A6" w:rsidP="00C64721">
            <w:pPr>
              <w:autoSpaceDE w:val="0"/>
              <w:autoSpaceDN w:val="0"/>
              <w:adjustRightInd w:val="0"/>
              <w:rPr>
                <w:rFonts w:eastAsiaTheme="minorHAnsi"/>
                <w:color w:val="000000"/>
                <w:lang w:eastAsia="en-US"/>
              </w:rPr>
            </w:pPr>
            <w:r w:rsidRPr="00113350">
              <w:rPr>
                <w:rFonts w:eastAsiaTheme="minorHAnsi"/>
                <w:bCs/>
                <w:color w:val="000000"/>
                <w:lang w:eastAsia="en-US"/>
              </w:rPr>
              <w:t>3.</w:t>
            </w:r>
            <w:r>
              <w:rPr>
                <w:rFonts w:eastAsiaTheme="minorHAnsi"/>
                <w:b/>
                <w:bCs/>
                <w:color w:val="000000"/>
                <w:lang w:eastAsia="en-US"/>
              </w:rPr>
              <w:t xml:space="preserve"> </w:t>
            </w:r>
            <w:r w:rsidRPr="00970E2F">
              <w:rPr>
                <w:rFonts w:eastAsiaTheme="minorHAnsi"/>
                <w:b/>
                <w:bCs/>
                <w:color w:val="000000"/>
                <w:lang w:eastAsia="en-US"/>
              </w:rPr>
              <w:t xml:space="preserve">Sagatavot </w:t>
            </w:r>
            <w:r w:rsidRPr="00970E2F">
              <w:rPr>
                <w:rFonts w:eastAsiaTheme="minorHAnsi"/>
                <w:color w:val="000000"/>
                <w:lang w:eastAsia="en-US"/>
              </w:rPr>
              <w:t xml:space="preserve">treneriem mapītes ar primāri nepieciešamo informāciju – spēļu kalendāru, tabulu, karti (ja nepieciešams) vai jebkādu citu informāciju, kuru jums kā organizatoram ir svarīgi nodot komandām. </w:t>
            </w:r>
          </w:p>
          <w:p w:rsidR="00B644A6" w:rsidRPr="00970E2F" w:rsidRDefault="00B644A6" w:rsidP="00C64721">
            <w:pPr>
              <w:autoSpaceDE w:val="0"/>
              <w:autoSpaceDN w:val="0"/>
              <w:adjustRightInd w:val="0"/>
              <w:rPr>
                <w:rFonts w:eastAsiaTheme="minorHAnsi"/>
                <w:color w:val="000000"/>
                <w:lang w:eastAsia="en-US"/>
              </w:rPr>
            </w:pPr>
          </w:p>
          <w:p w:rsidR="00B644A6" w:rsidRPr="00970E2F" w:rsidRDefault="00B644A6" w:rsidP="00C64721">
            <w:pPr>
              <w:autoSpaceDE w:val="0"/>
              <w:autoSpaceDN w:val="0"/>
              <w:adjustRightInd w:val="0"/>
              <w:rPr>
                <w:rFonts w:eastAsiaTheme="minorHAnsi"/>
                <w:color w:val="000000"/>
                <w:lang w:eastAsia="en-US"/>
              </w:rPr>
            </w:pPr>
            <w:r>
              <w:rPr>
                <w:rFonts w:eastAsiaTheme="minorHAnsi"/>
                <w:color w:val="000000"/>
                <w:lang w:eastAsia="en-US"/>
              </w:rPr>
              <w:t xml:space="preserve">4. </w:t>
            </w:r>
            <w:r w:rsidRPr="00970E2F">
              <w:rPr>
                <w:rFonts w:eastAsiaTheme="minorHAnsi"/>
                <w:color w:val="000000"/>
                <w:lang w:eastAsia="en-US"/>
              </w:rPr>
              <w:t>Katras dienas tehniskie spēļu protokoli, īpaši, ja bijusi kāda</w:t>
            </w:r>
            <w:r>
              <w:rPr>
                <w:rFonts w:eastAsiaTheme="minorHAnsi"/>
                <w:color w:val="000000"/>
                <w:lang w:eastAsia="en-US"/>
              </w:rPr>
              <w:t xml:space="preserve"> tehniska problēma vai kļūda, jā</w:t>
            </w:r>
            <w:r w:rsidRPr="00970E2F">
              <w:rPr>
                <w:rFonts w:eastAsiaTheme="minorHAnsi"/>
                <w:color w:val="000000"/>
                <w:lang w:eastAsia="en-US"/>
              </w:rPr>
              <w:t>nosūta uz</w:t>
            </w:r>
            <w:r>
              <w:rPr>
                <w:rFonts w:eastAsiaTheme="minorHAnsi"/>
                <w:color w:val="000000"/>
                <w:lang w:eastAsia="en-US"/>
              </w:rPr>
              <w:t xml:space="preserve"> e-pasta adresi – </w:t>
            </w:r>
            <w:hyperlink r:id="rId11" w:history="1">
              <w:r w:rsidRPr="00F77016">
                <w:rPr>
                  <w:rStyle w:val="a4"/>
                  <w:lang w:eastAsia="en-US"/>
                </w:rPr>
                <w:t>alvis@eybl.lv</w:t>
              </w:r>
            </w:hyperlink>
            <w:r>
              <w:rPr>
                <w:rFonts w:eastAsiaTheme="minorHAnsi"/>
                <w:color w:val="000000"/>
                <w:lang w:eastAsia="en-US"/>
              </w:rPr>
              <w:t xml:space="preserve"> </w:t>
            </w:r>
          </w:p>
          <w:p w:rsidR="00B644A6" w:rsidRPr="00970E2F" w:rsidRDefault="00B644A6" w:rsidP="00C64721">
            <w:pPr>
              <w:autoSpaceDE w:val="0"/>
              <w:autoSpaceDN w:val="0"/>
              <w:adjustRightInd w:val="0"/>
              <w:rPr>
                <w:rFonts w:eastAsiaTheme="minorHAnsi"/>
                <w:color w:val="000000"/>
                <w:lang w:eastAsia="en-US"/>
              </w:rPr>
            </w:pPr>
          </w:p>
          <w:p w:rsidR="00B644A6" w:rsidRPr="00970E2F" w:rsidRDefault="00B644A6" w:rsidP="00C64721">
            <w:pPr>
              <w:autoSpaceDE w:val="0"/>
              <w:autoSpaceDN w:val="0"/>
              <w:adjustRightInd w:val="0"/>
              <w:rPr>
                <w:rFonts w:eastAsiaTheme="minorHAnsi"/>
                <w:color w:val="000000"/>
                <w:lang w:eastAsia="en-US"/>
              </w:rPr>
            </w:pPr>
            <w:r>
              <w:rPr>
                <w:rFonts w:eastAsiaTheme="minorHAnsi"/>
                <w:color w:val="000000"/>
                <w:lang w:eastAsia="en-US"/>
              </w:rPr>
              <w:t xml:space="preserve">5. </w:t>
            </w:r>
            <w:r w:rsidRPr="00970E2F">
              <w:rPr>
                <w:rFonts w:eastAsiaTheme="minorHAnsi"/>
                <w:color w:val="000000"/>
                <w:lang w:eastAsia="en-US"/>
              </w:rPr>
              <w:t xml:space="preserve">Posma organizatori nodrošina fotogrāfa klātbūtni un 3 dienu laikā pēc turnīra nosūta foto uz: </w:t>
            </w:r>
            <w:hyperlink r:id="rId12" w:history="1">
              <w:r w:rsidRPr="00F77016">
                <w:rPr>
                  <w:rStyle w:val="a4"/>
                  <w:lang w:eastAsia="en-US"/>
                </w:rPr>
                <w:t>alvis@eybl.lv</w:t>
              </w:r>
            </w:hyperlink>
            <w:r>
              <w:rPr>
                <w:rFonts w:eastAsiaTheme="minorHAnsi"/>
                <w:color w:val="000000"/>
                <w:lang w:eastAsia="en-US"/>
              </w:rPr>
              <w:t xml:space="preserve"> . </w:t>
            </w:r>
          </w:p>
        </w:tc>
      </w:tr>
      <w:tr w:rsidR="00B644A6" w:rsidTr="00B644A6">
        <w:trPr>
          <w:jc w:val="center"/>
        </w:trPr>
        <w:tc>
          <w:tcPr>
            <w:tcW w:w="846" w:type="dxa"/>
            <w:vAlign w:val="center"/>
          </w:tcPr>
          <w:p w:rsidR="00B644A6" w:rsidRDefault="00B644A6" w:rsidP="00DC254F">
            <w:r>
              <w:t>2.</w:t>
            </w:r>
          </w:p>
        </w:tc>
        <w:tc>
          <w:tcPr>
            <w:tcW w:w="1984" w:type="dxa"/>
          </w:tcPr>
          <w:p w:rsidR="00B644A6" w:rsidRDefault="00B644A6" w:rsidP="00C64721">
            <w:pPr>
              <w:spacing w:before="100" w:beforeAutospacing="1" w:after="100" w:afterAutospacing="1"/>
              <w:jc w:val="center"/>
              <w:rPr>
                <w:b/>
              </w:rPr>
            </w:pPr>
          </w:p>
          <w:p w:rsidR="00B644A6" w:rsidRPr="002D1062" w:rsidRDefault="00B644A6" w:rsidP="00C64721">
            <w:pPr>
              <w:spacing w:before="100" w:beforeAutospacing="1" w:after="100" w:afterAutospacing="1"/>
              <w:jc w:val="center"/>
              <w:rPr>
                <w:b/>
              </w:rPr>
            </w:pPr>
            <w:r w:rsidRPr="002D1062">
              <w:rPr>
                <w:b/>
              </w:rPr>
              <w:t>Apbalvošana</w:t>
            </w:r>
          </w:p>
        </w:tc>
        <w:tc>
          <w:tcPr>
            <w:tcW w:w="6663" w:type="dxa"/>
          </w:tcPr>
          <w:p w:rsidR="00B644A6" w:rsidRPr="00970E2F" w:rsidRDefault="00B644A6" w:rsidP="00C64721">
            <w:pPr>
              <w:autoSpaceDE w:val="0"/>
              <w:autoSpaceDN w:val="0"/>
              <w:adjustRightInd w:val="0"/>
              <w:spacing w:after="19"/>
              <w:rPr>
                <w:rFonts w:eastAsiaTheme="minorHAnsi"/>
                <w:color w:val="000000"/>
                <w:lang w:eastAsia="en-US"/>
              </w:rPr>
            </w:pPr>
            <w:r w:rsidRPr="00970E2F">
              <w:rPr>
                <w:rFonts w:eastAsiaTheme="minorHAnsi"/>
                <w:b/>
                <w:bCs/>
                <w:color w:val="000000"/>
                <w:lang w:eastAsia="en-US"/>
              </w:rPr>
              <w:t>Apbalvošana posmā</w:t>
            </w:r>
            <w:r w:rsidRPr="00970E2F">
              <w:rPr>
                <w:rFonts w:eastAsiaTheme="minorHAnsi"/>
                <w:color w:val="000000"/>
                <w:lang w:eastAsia="en-US"/>
              </w:rPr>
              <w:t xml:space="preserve">: </w:t>
            </w:r>
          </w:p>
          <w:p w:rsidR="00B644A6" w:rsidRPr="00970E2F" w:rsidRDefault="00B644A6" w:rsidP="00C64721">
            <w:pPr>
              <w:autoSpaceDE w:val="0"/>
              <w:autoSpaceDN w:val="0"/>
              <w:adjustRightInd w:val="0"/>
              <w:spacing w:after="19"/>
              <w:rPr>
                <w:rFonts w:eastAsiaTheme="minorHAnsi"/>
                <w:color w:val="000000"/>
                <w:lang w:eastAsia="en-US"/>
              </w:rPr>
            </w:pPr>
            <w:r w:rsidRPr="00970E2F">
              <w:rPr>
                <w:rFonts w:eastAsiaTheme="minorHAnsi"/>
                <w:color w:val="000000"/>
                <w:lang w:eastAsia="en-US"/>
              </w:rPr>
              <w:t xml:space="preserve">• medaļas, kauss komandām, kas noslēdz posmu 1.- 3. vietā; </w:t>
            </w:r>
          </w:p>
          <w:p w:rsidR="00B644A6" w:rsidRPr="00970E2F" w:rsidRDefault="00B644A6" w:rsidP="00C64721">
            <w:pPr>
              <w:autoSpaceDE w:val="0"/>
              <w:autoSpaceDN w:val="0"/>
              <w:adjustRightInd w:val="0"/>
              <w:spacing w:after="19"/>
              <w:rPr>
                <w:rFonts w:eastAsiaTheme="minorHAnsi"/>
                <w:color w:val="000000"/>
                <w:lang w:eastAsia="en-US"/>
              </w:rPr>
            </w:pPr>
            <w:r w:rsidRPr="00970E2F">
              <w:rPr>
                <w:rFonts w:eastAsiaTheme="minorHAnsi"/>
                <w:color w:val="000000"/>
                <w:lang w:eastAsia="en-US"/>
              </w:rPr>
              <w:t xml:space="preserve">• kauss komandām, kas noslēdz posmu 4.- 8.vietā; </w:t>
            </w:r>
          </w:p>
          <w:p w:rsidR="00B644A6" w:rsidRPr="00970E2F" w:rsidRDefault="00B644A6" w:rsidP="00C64721">
            <w:pPr>
              <w:autoSpaceDE w:val="0"/>
              <w:autoSpaceDN w:val="0"/>
              <w:adjustRightInd w:val="0"/>
              <w:spacing w:after="19"/>
              <w:rPr>
                <w:rFonts w:eastAsiaTheme="minorHAnsi"/>
                <w:color w:val="000000"/>
                <w:lang w:eastAsia="en-US"/>
              </w:rPr>
            </w:pPr>
            <w:r w:rsidRPr="00970E2F">
              <w:rPr>
                <w:rFonts w:eastAsiaTheme="minorHAnsi"/>
                <w:color w:val="000000"/>
                <w:lang w:eastAsia="en-US"/>
              </w:rPr>
              <w:t xml:space="preserve">• kauss un balva turnīra labākajam (vienam) spēlētājam („MVP”); </w:t>
            </w:r>
          </w:p>
          <w:p w:rsidR="00B644A6" w:rsidRPr="00970E2F" w:rsidRDefault="00B644A6" w:rsidP="00C64721">
            <w:pPr>
              <w:autoSpaceDE w:val="0"/>
              <w:autoSpaceDN w:val="0"/>
              <w:adjustRightInd w:val="0"/>
              <w:spacing w:after="19"/>
              <w:rPr>
                <w:rFonts w:eastAsiaTheme="minorHAnsi"/>
                <w:color w:val="000000"/>
                <w:lang w:eastAsia="en-US"/>
              </w:rPr>
            </w:pPr>
            <w:r w:rsidRPr="00970E2F">
              <w:rPr>
                <w:rFonts w:eastAsiaTheme="minorHAnsi"/>
                <w:color w:val="000000"/>
                <w:lang w:eastAsia="en-US"/>
              </w:rPr>
              <w:t xml:space="preserve">• kausi un balvas turnīra 5 (pieciem) zvaigžņu spēlētājiem („ALL STARS”); </w:t>
            </w:r>
          </w:p>
          <w:p w:rsidR="00B644A6" w:rsidRPr="00970E2F" w:rsidRDefault="00B644A6" w:rsidP="00C64721">
            <w:pPr>
              <w:autoSpaceDE w:val="0"/>
              <w:autoSpaceDN w:val="0"/>
              <w:adjustRightInd w:val="0"/>
              <w:spacing w:after="19"/>
              <w:rPr>
                <w:rFonts w:eastAsiaTheme="minorHAnsi"/>
                <w:color w:val="000000"/>
                <w:lang w:eastAsia="en-US"/>
              </w:rPr>
            </w:pPr>
            <w:r w:rsidRPr="00970E2F">
              <w:rPr>
                <w:rFonts w:eastAsiaTheme="minorHAnsi"/>
                <w:color w:val="000000"/>
                <w:lang w:eastAsia="en-US"/>
              </w:rPr>
              <w:t xml:space="preserve">• kausi un balvas katras komandas labākajam spēlētājam 8 (astoņas) („TEAM BEST PLAYER”); </w:t>
            </w:r>
          </w:p>
          <w:p w:rsidR="00B644A6" w:rsidRPr="00970E2F" w:rsidRDefault="00B644A6" w:rsidP="00C64721">
            <w:pPr>
              <w:autoSpaceDE w:val="0"/>
              <w:autoSpaceDN w:val="0"/>
              <w:adjustRightInd w:val="0"/>
              <w:spacing w:after="19"/>
              <w:rPr>
                <w:rFonts w:eastAsiaTheme="minorHAnsi"/>
                <w:color w:val="000000"/>
                <w:lang w:eastAsia="en-US"/>
              </w:rPr>
            </w:pPr>
            <w:r w:rsidRPr="00970E2F">
              <w:rPr>
                <w:rFonts w:eastAsiaTheme="minorHAnsi"/>
                <w:color w:val="000000"/>
                <w:lang w:eastAsia="en-US"/>
              </w:rPr>
              <w:t xml:space="preserve">• ieteicams - individuālas piemiņas balvas visiem turnīra dalībniekiem ar EGBL logo un turnīra personalizāciju (EGBL logo, datums, vieta utt.); </w:t>
            </w:r>
          </w:p>
          <w:p w:rsidR="00B644A6" w:rsidRPr="002D1062" w:rsidRDefault="00B644A6" w:rsidP="00C64721">
            <w:pPr>
              <w:autoSpaceDE w:val="0"/>
              <w:autoSpaceDN w:val="0"/>
              <w:adjustRightInd w:val="0"/>
              <w:rPr>
                <w:rFonts w:eastAsiaTheme="minorHAnsi"/>
                <w:color w:val="000000"/>
                <w:lang w:eastAsia="en-US"/>
              </w:rPr>
            </w:pPr>
            <w:r w:rsidRPr="00970E2F">
              <w:rPr>
                <w:rFonts w:eastAsiaTheme="minorHAnsi"/>
                <w:color w:val="000000"/>
                <w:lang w:eastAsia="en-US"/>
              </w:rPr>
              <w:t>• turnīra rīkotājiem ir tie</w:t>
            </w:r>
            <w:r>
              <w:rPr>
                <w:rFonts w:eastAsiaTheme="minorHAnsi"/>
                <w:color w:val="000000"/>
                <w:lang w:eastAsia="en-US"/>
              </w:rPr>
              <w:t xml:space="preserve">sības palielināt balvu apjomu. </w:t>
            </w:r>
          </w:p>
        </w:tc>
      </w:tr>
    </w:tbl>
    <w:p w:rsidR="009C0406" w:rsidRDefault="009C0406" w:rsidP="009C0406">
      <w:r>
        <w:t>Tehnisko specifikāciju sagatavoja</w:t>
      </w:r>
    </w:p>
    <w:p w:rsidR="00CA2DC9" w:rsidRDefault="009C0406" w:rsidP="009D2C62">
      <w:pPr>
        <w:rPr>
          <w:rFonts w:eastAsia="Times New Roman"/>
          <w:lang w:eastAsia="ar-SA"/>
        </w:rPr>
      </w:pPr>
      <w:r>
        <w:t>Daugavpils Bērnu un jaunatnes sporta skolas</w:t>
      </w:r>
      <w:r w:rsidR="00C42EC5">
        <w:t xml:space="preserve"> metodiķe</w:t>
      </w:r>
      <w:r w:rsidR="003845C5">
        <w:t xml:space="preserve"> _____________________ </w:t>
      </w:r>
      <w:r w:rsidR="005614D0">
        <w:t>L. Vilcāne</w:t>
      </w:r>
    </w:p>
    <w:p w:rsidR="004C0EE8" w:rsidRDefault="004C0EE8" w:rsidP="00DC254F">
      <w:pPr>
        <w:suppressAutoHyphens/>
        <w:jc w:val="center"/>
        <w:rPr>
          <w:rFonts w:eastAsia="Times New Roman"/>
          <w:b/>
          <w:lang w:eastAsia="ar-SA"/>
        </w:rPr>
      </w:pPr>
    </w:p>
    <w:p w:rsidR="00AC7728" w:rsidRDefault="00AC7728" w:rsidP="008E71D5">
      <w:pPr>
        <w:suppressAutoHyphens/>
        <w:rPr>
          <w:rFonts w:eastAsia="Times New Roman"/>
          <w:b/>
          <w:lang w:eastAsia="ar-SA"/>
        </w:rPr>
      </w:pP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2D1062" w:rsidP="00763752">
      <w:pPr>
        <w:suppressAutoHyphens/>
        <w:rPr>
          <w:rFonts w:eastAsia="Times New Roman"/>
          <w:lang w:eastAsia="ar-SA"/>
        </w:rPr>
      </w:pPr>
      <w:r>
        <w:rPr>
          <w:rFonts w:eastAsia="Times New Roman"/>
          <w:lang w:eastAsia="ar-SA"/>
        </w:rPr>
        <w:t>2022</w:t>
      </w:r>
      <w:r w:rsidR="00763752"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Default="00C42EC5" w:rsidP="00F006D1">
      <w:pPr>
        <w:suppressAutoHyphens/>
        <w:rPr>
          <w:rFonts w:eastAsia="Times New Roman"/>
          <w:lang w:eastAsia="en-US"/>
        </w:rPr>
      </w:pPr>
      <w:r w:rsidRPr="00CF1BEC">
        <w:rPr>
          <w:rFonts w:eastAsia="Times New Roman"/>
          <w:lang w:eastAsia="ar-SA"/>
        </w:rPr>
        <w:t xml:space="preserve">Piedāvājam </w:t>
      </w:r>
      <w:r w:rsidR="00FE2C85">
        <w:rPr>
          <w:rFonts w:eastAsia="Times New Roman"/>
          <w:lang w:eastAsia="ar-SA"/>
        </w:rPr>
        <w:t>nodrošin</w:t>
      </w:r>
      <w:r w:rsidR="00AC7728">
        <w:rPr>
          <w:rFonts w:eastAsia="Times New Roman"/>
          <w:lang w:eastAsia="ar-SA"/>
        </w:rPr>
        <w:t>āt meiteņu basketbola sacensību organizēšanu (tiesāšanas un apbalvojumu nodrošināšana)</w:t>
      </w:r>
      <w:r w:rsidR="00ED68CA">
        <w:rPr>
          <w:rFonts w:eastAsia="Times New Roman"/>
          <w:lang w:eastAsia="en-US"/>
        </w:rPr>
        <w:t xml:space="preserve"> </w:t>
      </w:r>
      <w:r w:rsidR="00AC365C">
        <w:rPr>
          <w:rFonts w:eastAsia="Times New Roman"/>
          <w:lang w:eastAsia="en-US"/>
        </w:rPr>
        <w:t>par šādu cenu:</w:t>
      </w:r>
      <w:r w:rsidR="00FE2C85">
        <w:rPr>
          <w:rFonts w:eastAsia="Times New Roman"/>
          <w:lang w:eastAsia="en-US"/>
        </w:rPr>
        <w:t xml:space="preserve"> </w:t>
      </w:r>
    </w:p>
    <w:tbl>
      <w:tblPr>
        <w:tblpPr w:leftFromText="180" w:rightFromText="180" w:bottomFromText="200" w:vertAnchor="text" w:horzAnchor="margin"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082"/>
      </w:tblGrid>
      <w:tr w:rsidR="00FE2C85" w:rsidRPr="00211B41" w:rsidTr="00FE2C85">
        <w:trPr>
          <w:cantSplit/>
        </w:trPr>
        <w:tc>
          <w:tcPr>
            <w:tcW w:w="1092" w:type="pct"/>
            <w:tcBorders>
              <w:top w:val="single" w:sz="4" w:space="0" w:color="auto"/>
              <w:left w:val="single" w:sz="4" w:space="0" w:color="auto"/>
              <w:bottom w:val="single" w:sz="4" w:space="0" w:color="auto"/>
              <w:right w:val="single" w:sz="4" w:space="0" w:color="auto"/>
            </w:tcBorders>
            <w:hideMark/>
          </w:tcPr>
          <w:p w:rsidR="00FE2C85" w:rsidRPr="00211B41" w:rsidRDefault="00FE2C85" w:rsidP="00FE2C85">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FE2C85" w:rsidRDefault="00FE2C85" w:rsidP="00FE2C85">
            <w:r w:rsidRPr="00FD29D1">
              <w:t xml:space="preserve">Daugavpils </w:t>
            </w:r>
            <w:r>
              <w:t xml:space="preserve">Bērnu un jaunatnes sporta skolai, </w:t>
            </w:r>
          </w:p>
          <w:p w:rsidR="00FE2C85" w:rsidRPr="00FD29D1" w:rsidRDefault="00FE2C85" w:rsidP="00FE2C85">
            <w:r>
              <w:t>Kandavas iela 17a, Daugavpils, LV-5401</w:t>
            </w:r>
          </w:p>
          <w:p w:rsidR="00FE2C85" w:rsidRPr="00211B41" w:rsidRDefault="00FE2C85" w:rsidP="00FE2C85">
            <w:pPr>
              <w:tabs>
                <w:tab w:val="left" w:pos="-114"/>
                <w:tab w:val="left" w:pos="-57"/>
              </w:tabs>
              <w:suppressAutoHyphens/>
              <w:jc w:val="both"/>
              <w:rPr>
                <w:rFonts w:eastAsia="Times New Roman"/>
                <w:lang w:eastAsia="ar-SA"/>
              </w:rPr>
            </w:pPr>
          </w:p>
        </w:tc>
      </w:tr>
      <w:tr w:rsidR="00FE2C85" w:rsidRPr="00211B41" w:rsidTr="00FE2C85">
        <w:trPr>
          <w:trHeight w:val="454"/>
        </w:trPr>
        <w:tc>
          <w:tcPr>
            <w:tcW w:w="1092" w:type="pct"/>
            <w:tcBorders>
              <w:top w:val="single" w:sz="4" w:space="0" w:color="auto"/>
              <w:left w:val="single" w:sz="4" w:space="0" w:color="auto"/>
              <w:bottom w:val="single" w:sz="4" w:space="0" w:color="auto"/>
              <w:right w:val="single" w:sz="4" w:space="0" w:color="auto"/>
            </w:tcBorders>
            <w:hideMark/>
          </w:tcPr>
          <w:p w:rsidR="00FE2C85" w:rsidRDefault="00FE2C85" w:rsidP="00FE2C85">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FE2C85" w:rsidRPr="00211B41" w:rsidRDefault="00FE2C85" w:rsidP="00FE2C85">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FE2C85" w:rsidRPr="00211B41" w:rsidRDefault="00FE2C85" w:rsidP="00FE2C85">
            <w:pPr>
              <w:tabs>
                <w:tab w:val="left" w:pos="-114"/>
                <w:tab w:val="left" w:pos="-57"/>
              </w:tabs>
              <w:suppressAutoHyphens/>
              <w:jc w:val="both"/>
              <w:rPr>
                <w:rFonts w:eastAsia="Times New Roman"/>
                <w:lang w:eastAsia="ar-SA"/>
              </w:rPr>
            </w:pPr>
          </w:p>
        </w:tc>
      </w:tr>
      <w:tr w:rsidR="00FE2C85" w:rsidRPr="00211B41" w:rsidTr="00FE2C85">
        <w:tc>
          <w:tcPr>
            <w:tcW w:w="1092" w:type="pct"/>
            <w:tcBorders>
              <w:top w:val="single" w:sz="4" w:space="0" w:color="auto"/>
              <w:left w:val="single" w:sz="4" w:space="0" w:color="auto"/>
              <w:bottom w:val="single" w:sz="4" w:space="0" w:color="auto"/>
              <w:right w:val="single" w:sz="4" w:space="0" w:color="auto"/>
            </w:tcBorders>
          </w:tcPr>
          <w:p w:rsidR="00FE2C85" w:rsidRPr="00211B41" w:rsidRDefault="00FE2C85" w:rsidP="00FE2C85">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FE2C85" w:rsidRPr="00211B41" w:rsidRDefault="00FE2C85" w:rsidP="00FE2C85">
            <w:pPr>
              <w:tabs>
                <w:tab w:val="left" w:pos="-114"/>
                <w:tab w:val="left" w:pos="-57"/>
              </w:tabs>
              <w:suppressAutoHyphens/>
              <w:jc w:val="both"/>
              <w:rPr>
                <w:rFonts w:eastAsia="Times New Roman"/>
                <w:lang w:eastAsia="ar-SA"/>
              </w:rPr>
            </w:pPr>
          </w:p>
        </w:tc>
      </w:tr>
      <w:tr w:rsidR="00FE2C85" w:rsidRPr="00211B41" w:rsidTr="00FE2C85">
        <w:tc>
          <w:tcPr>
            <w:tcW w:w="1092" w:type="pct"/>
            <w:tcBorders>
              <w:top w:val="single" w:sz="4" w:space="0" w:color="auto"/>
              <w:left w:val="single" w:sz="4" w:space="0" w:color="auto"/>
              <w:bottom w:val="single" w:sz="4" w:space="0" w:color="auto"/>
              <w:right w:val="single" w:sz="4" w:space="0" w:color="auto"/>
            </w:tcBorders>
            <w:hideMark/>
          </w:tcPr>
          <w:p w:rsidR="00FE2C85" w:rsidRPr="00211B41" w:rsidRDefault="00FE2C85" w:rsidP="00FE2C85">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FE2C85" w:rsidRPr="00211B41" w:rsidRDefault="00FE2C85" w:rsidP="00FE2C85">
            <w:pPr>
              <w:tabs>
                <w:tab w:val="left" w:pos="-114"/>
                <w:tab w:val="left" w:pos="-57"/>
              </w:tabs>
              <w:suppressAutoHyphens/>
              <w:jc w:val="both"/>
              <w:rPr>
                <w:rFonts w:eastAsia="Times New Roman"/>
                <w:lang w:eastAsia="ar-SA"/>
              </w:rPr>
            </w:pPr>
          </w:p>
        </w:tc>
      </w:tr>
      <w:tr w:rsidR="00FE2C85" w:rsidRPr="00211B41" w:rsidTr="00FE2C85">
        <w:tc>
          <w:tcPr>
            <w:tcW w:w="1092" w:type="pct"/>
            <w:tcBorders>
              <w:top w:val="single" w:sz="4" w:space="0" w:color="auto"/>
              <w:left w:val="single" w:sz="4" w:space="0" w:color="auto"/>
              <w:bottom w:val="single" w:sz="4" w:space="0" w:color="auto"/>
              <w:right w:val="single" w:sz="4" w:space="0" w:color="auto"/>
            </w:tcBorders>
            <w:hideMark/>
          </w:tcPr>
          <w:p w:rsidR="00FE2C85" w:rsidRPr="00211B41" w:rsidRDefault="00FE2C85" w:rsidP="00FE2C85">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FE2C85" w:rsidRPr="00211B41" w:rsidRDefault="00FE2C85" w:rsidP="00FE2C85">
            <w:pPr>
              <w:tabs>
                <w:tab w:val="left" w:pos="-114"/>
                <w:tab w:val="left" w:pos="-57"/>
              </w:tabs>
              <w:suppressAutoHyphens/>
              <w:jc w:val="both"/>
              <w:rPr>
                <w:rFonts w:eastAsia="Times New Roman"/>
                <w:lang w:eastAsia="ar-SA"/>
              </w:rPr>
            </w:pPr>
          </w:p>
        </w:tc>
      </w:tr>
      <w:tr w:rsidR="00FE2C85" w:rsidRPr="00211B41" w:rsidTr="00FE2C85">
        <w:tc>
          <w:tcPr>
            <w:tcW w:w="1092" w:type="pct"/>
            <w:tcBorders>
              <w:top w:val="single" w:sz="4" w:space="0" w:color="auto"/>
              <w:left w:val="single" w:sz="4" w:space="0" w:color="auto"/>
              <w:bottom w:val="single" w:sz="4" w:space="0" w:color="auto"/>
              <w:right w:val="single" w:sz="4" w:space="0" w:color="auto"/>
            </w:tcBorders>
            <w:hideMark/>
          </w:tcPr>
          <w:p w:rsidR="00FE2C85" w:rsidRPr="00211B41" w:rsidRDefault="00FE2C85" w:rsidP="00FE2C85">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FE2C85" w:rsidRPr="00211B41" w:rsidRDefault="00FE2C85" w:rsidP="00FE2C85">
            <w:pPr>
              <w:tabs>
                <w:tab w:val="left" w:pos="-114"/>
                <w:tab w:val="left" w:pos="-57"/>
              </w:tabs>
              <w:suppressAutoHyphens/>
              <w:jc w:val="both"/>
              <w:rPr>
                <w:rFonts w:eastAsia="Times New Roman"/>
                <w:lang w:eastAsia="ar-SA"/>
              </w:rPr>
            </w:pPr>
          </w:p>
        </w:tc>
      </w:tr>
    </w:tbl>
    <w:p w:rsidR="00FE2C85" w:rsidRDefault="00FE2C85" w:rsidP="00F006D1">
      <w:pPr>
        <w:suppressAutoHyphens/>
        <w:rPr>
          <w:rFonts w:eastAsia="Times New Roman"/>
          <w:lang w:eastAsia="en-US"/>
        </w:rPr>
      </w:pPr>
    </w:p>
    <w:tbl>
      <w:tblPr>
        <w:tblStyle w:val="a5"/>
        <w:tblW w:w="9067" w:type="dxa"/>
        <w:tblLayout w:type="fixed"/>
        <w:tblLook w:val="04A0" w:firstRow="1" w:lastRow="0" w:firstColumn="1" w:lastColumn="0" w:noHBand="0" w:noVBand="1"/>
      </w:tblPr>
      <w:tblGrid>
        <w:gridCol w:w="846"/>
        <w:gridCol w:w="1984"/>
        <w:gridCol w:w="4820"/>
        <w:gridCol w:w="1417"/>
      </w:tblGrid>
      <w:tr w:rsidR="00AC7728" w:rsidTr="00AC7728">
        <w:tc>
          <w:tcPr>
            <w:tcW w:w="846" w:type="dxa"/>
            <w:vAlign w:val="center"/>
          </w:tcPr>
          <w:p w:rsidR="00AC7728" w:rsidRDefault="00AC7728" w:rsidP="00B26ACE">
            <w:pPr>
              <w:jc w:val="center"/>
              <w:rPr>
                <w:b/>
                <w:sz w:val="22"/>
                <w:szCs w:val="22"/>
              </w:rPr>
            </w:pPr>
            <w:r w:rsidRPr="007945FC">
              <w:rPr>
                <w:b/>
                <w:sz w:val="22"/>
                <w:szCs w:val="22"/>
              </w:rPr>
              <w:t>Nr.</w:t>
            </w:r>
          </w:p>
          <w:p w:rsidR="00AC7728" w:rsidRPr="007945FC" w:rsidRDefault="00AC7728" w:rsidP="00B26ACE">
            <w:pPr>
              <w:jc w:val="center"/>
              <w:rPr>
                <w:b/>
                <w:sz w:val="22"/>
                <w:szCs w:val="22"/>
              </w:rPr>
            </w:pPr>
            <w:r w:rsidRPr="007945FC">
              <w:rPr>
                <w:b/>
                <w:sz w:val="22"/>
                <w:szCs w:val="22"/>
              </w:rPr>
              <w:t>p.k.</w:t>
            </w:r>
          </w:p>
        </w:tc>
        <w:tc>
          <w:tcPr>
            <w:tcW w:w="1984" w:type="dxa"/>
            <w:vAlign w:val="center"/>
          </w:tcPr>
          <w:p w:rsidR="00AC7728" w:rsidRPr="00A22DE1" w:rsidRDefault="00AC7728" w:rsidP="00B26ACE">
            <w:pPr>
              <w:jc w:val="center"/>
              <w:rPr>
                <w:b/>
              </w:rPr>
            </w:pPr>
            <w:r w:rsidRPr="00A22DE1">
              <w:rPr>
                <w:b/>
              </w:rPr>
              <w:t>Nosaukums</w:t>
            </w:r>
          </w:p>
        </w:tc>
        <w:tc>
          <w:tcPr>
            <w:tcW w:w="4820" w:type="dxa"/>
            <w:vAlign w:val="center"/>
          </w:tcPr>
          <w:p w:rsidR="00AC7728" w:rsidRPr="00A22DE1" w:rsidRDefault="00AC7728" w:rsidP="00B26ACE">
            <w:pPr>
              <w:jc w:val="center"/>
              <w:rPr>
                <w:b/>
              </w:rPr>
            </w:pPr>
            <w:r w:rsidRPr="00A22DE1">
              <w:rPr>
                <w:b/>
              </w:rPr>
              <w:t>Apraksts</w:t>
            </w:r>
          </w:p>
        </w:tc>
        <w:tc>
          <w:tcPr>
            <w:tcW w:w="1417" w:type="dxa"/>
            <w:vAlign w:val="center"/>
          </w:tcPr>
          <w:p w:rsidR="00AC7728" w:rsidRPr="00A22DE1" w:rsidRDefault="00AC7728" w:rsidP="00554973">
            <w:pPr>
              <w:jc w:val="center"/>
              <w:rPr>
                <w:b/>
              </w:rPr>
            </w:pPr>
            <w:r>
              <w:rPr>
                <w:b/>
              </w:rPr>
              <w:t>Cena</w:t>
            </w:r>
          </w:p>
        </w:tc>
      </w:tr>
      <w:tr w:rsidR="00AC7728" w:rsidTr="00AC7728">
        <w:tc>
          <w:tcPr>
            <w:tcW w:w="846" w:type="dxa"/>
            <w:vAlign w:val="center"/>
          </w:tcPr>
          <w:p w:rsidR="00AC7728" w:rsidRDefault="00AC7728" w:rsidP="00FE2C85">
            <w:pPr>
              <w:pStyle w:val="a6"/>
              <w:numPr>
                <w:ilvl w:val="0"/>
                <w:numId w:val="19"/>
              </w:numPr>
              <w:jc w:val="center"/>
            </w:pPr>
          </w:p>
        </w:tc>
        <w:tc>
          <w:tcPr>
            <w:tcW w:w="1984" w:type="dxa"/>
          </w:tcPr>
          <w:p w:rsidR="00AC7728" w:rsidRDefault="00AC7728" w:rsidP="00FE2C85">
            <w:pPr>
              <w:spacing w:before="100" w:beforeAutospacing="1" w:after="100" w:afterAutospacing="1"/>
              <w:jc w:val="center"/>
              <w:rPr>
                <w:b/>
              </w:rPr>
            </w:pPr>
          </w:p>
          <w:p w:rsidR="00AC7728" w:rsidRPr="002D1062" w:rsidRDefault="00AC7728" w:rsidP="00FE2C85">
            <w:pPr>
              <w:spacing w:before="100" w:beforeAutospacing="1" w:after="100" w:afterAutospacing="1"/>
              <w:jc w:val="center"/>
              <w:rPr>
                <w:b/>
              </w:rPr>
            </w:pPr>
            <w:r w:rsidRPr="002D1062">
              <w:rPr>
                <w:b/>
              </w:rPr>
              <w:t>Tiesāšana</w:t>
            </w:r>
          </w:p>
        </w:tc>
        <w:tc>
          <w:tcPr>
            <w:tcW w:w="4820" w:type="dxa"/>
          </w:tcPr>
          <w:p w:rsidR="00AC7728" w:rsidRPr="00113350" w:rsidRDefault="00AC7728" w:rsidP="00FE2C85">
            <w:pPr>
              <w:pStyle w:val="a6"/>
              <w:numPr>
                <w:ilvl w:val="0"/>
                <w:numId w:val="16"/>
              </w:numPr>
              <w:suppressAutoHyphens/>
              <w:spacing w:before="100" w:beforeAutospacing="1" w:after="100" w:afterAutospacing="1"/>
              <w:ind w:left="321"/>
              <w:contextualSpacing w:val="0"/>
              <w:rPr>
                <w:color w:val="000000" w:themeColor="text1"/>
              </w:rPr>
            </w:pPr>
            <w:r w:rsidRPr="00970E2F">
              <w:t xml:space="preserve">EGBL var </w:t>
            </w:r>
            <w:r w:rsidRPr="00113350">
              <w:rPr>
                <w:color w:val="000000" w:themeColor="text1"/>
              </w:rPr>
              <w:t>tiesāt tikai Latvi</w:t>
            </w:r>
            <w:r>
              <w:rPr>
                <w:color w:val="000000" w:themeColor="text1"/>
              </w:rPr>
              <w:t>jas basketbola savienības licenc</w:t>
            </w:r>
            <w:r w:rsidRPr="00113350">
              <w:rPr>
                <w:color w:val="000000" w:themeColor="text1"/>
              </w:rPr>
              <w:t>ēti tiesneši, kā arī tiesneši, kas ieradušies delegāciju sastāvos</w:t>
            </w:r>
          </w:p>
          <w:p w:rsidR="00AC7728" w:rsidRPr="00113350" w:rsidRDefault="00AC7728" w:rsidP="00FE2C85">
            <w:pPr>
              <w:pStyle w:val="a6"/>
              <w:numPr>
                <w:ilvl w:val="0"/>
                <w:numId w:val="16"/>
              </w:numPr>
              <w:suppressAutoHyphens/>
              <w:spacing w:before="100" w:beforeAutospacing="1" w:after="100" w:afterAutospacing="1"/>
              <w:ind w:left="321"/>
              <w:contextualSpacing w:val="0"/>
              <w:rPr>
                <w:color w:val="000000" w:themeColor="text1"/>
              </w:rPr>
            </w:pPr>
            <w:r w:rsidRPr="00113350">
              <w:rPr>
                <w:rFonts w:eastAsiaTheme="minorHAnsi"/>
                <w:bCs/>
                <w:color w:val="000000"/>
                <w:lang w:eastAsia="en-US"/>
              </w:rPr>
              <w:t>Nodrošināt</w:t>
            </w:r>
            <w:r w:rsidRPr="00113350">
              <w:rPr>
                <w:rFonts w:eastAsiaTheme="minorHAnsi"/>
                <w:b/>
                <w:bCs/>
                <w:color w:val="000000"/>
                <w:lang w:eastAsia="en-US"/>
              </w:rPr>
              <w:t xml:space="preserve"> </w:t>
            </w:r>
            <w:r w:rsidRPr="00113350">
              <w:rPr>
                <w:rFonts w:eastAsiaTheme="minorHAnsi"/>
                <w:color w:val="000000"/>
                <w:lang w:eastAsia="en-US"/>
              </w:rPr>
              <w:t xml:space="preserve">uz katru spēli: </w:t>
            </w:r>
          </w:p>
          <w:p w:rsidR="00AC7728" w:rsidRPr="00113350" w:rsidRDefault="00AC7728" w:rsidP="00FE2C85">
            <w:pPr>
              <w:spacing w:before="100" w:beforeAutospacing="1" w:after="100" w:afterAutospacing="1"/>
              <w:rPr>
                <w:color w:val="000000" w:themeColor="text1"/>
              </w:rPr>
            </w:pPr>
            <w:r w:rsidRPr="00970E2F">
              <w:rPr>
                <w:rFonts w:eastAsiaTheme="minorHAnsi"/>
                <w:color w:val="000000"/>
                <w:lang w:eastAsia="en-US"/>
              </w:rPr>
              <w:t>• sekretariāts</w:t>
            </w:r>
            <w:r>
              <w:rPr>
                <w:rFonts w:eastAsiaTheme="minorHAnsi"/>
                <w:color w:val="000000"/>
                <w:lang w:eastAsia="en-US"/>
              </w:rPr>
              <w:t xml:space="preserve"> (4cilv.x 3dn)</w:t>
            </w:r>
            <w:r w:rsidRPr="00970E2F">
              <w:rPr>
                <w:rFonts w:eastAsiaTheme="minorHAnsi"/>
                <w:color w:val="000000"/>
                <w:lang w:eastAsia="en-US"/>
              </w:rPr>
              <w:t xml:space="preserve">; </w:t>
            </w:r>
          </w:p>
          <w:p w:rsidR="00AC7728" w:rsidRPr="00970E2F" w:rsidRDefault="00AC7728" w:rsidP="00FE2C85">
            <w:pPr>
              <w:autoSpaceDE w:val="0"/>
              <w:autoSpaceDN w:val="0"/>
              <w:adjustRightInd w:val="0"/>
              <w:spacing w:after="19"/>
              <w:rPr>
                <w:rFonts w:eastAsiaTheme="minorHAnsi"/>
                <w:color w:val="000000"/>
                <w:lang w:eastAsia="en-US"/>
              </w:rPr>
            </w:pPr>
            <w:r w:rsidRPr="00970E2F">
              <w:rPr>
                <w:rFonts w:eastAsiaTheme="minorHAnsi"/>
                <w:color w:val="000000"/>
                <w:lang w:eastAsia="en-US"/>
              </w:rPr>
              <w:t xml:space="preserve">• tiesneši; </w:t>
            </w:r>
            <w:r>
              <w:rPr>
                <w:rFonts w:eastAsiaTheme="minorHAnsi"/>
                <w:color w:val="000000"/>
                <w:lang w:eastAsia="en-US"/>
              </w:rPr>
              <w:t>(10cilv. x 3dn);</w:t>
            </w:r>
          </w:p>
          <w:p w:rsidR="00AC7728" w:rsidRPr="00970E2F" w:rsidRDefault="00AC7728" w:rsidP="00FE2C85">
            <w:pPr>
              <w:autoSpaceDE w:val="0"/>
              <w:autoSpaceDN w:val="0"/>
              <w:adjustRightInd w:val="0"/>
              <w:spacing w:after="19"/>
              <w:rPr>
                <w:rFonts w:eastAsiaTheme="minorHAnsi"/>
                <w:color w:val="000000"/>
                <w:lang w:eastAsia="en-US"/>
              </w:rPr>
            </w:pPr>
          </w:p>
          <w:p w:rsidR="00AC7728" w:rsidRPr="00970E2F" w:rsidRDefault="00AC7728" w:rsidP="00FE2C85">
            <w:pPr>
              <w:autoSpaceDE w:val="0"/>
              <w:autoSpaceDN w:val="0"/>
              <w:adjustRightInd w:val="0"/>
              <w:spacing w:after="19"/>
              <w:rPr>
                <w:rFonts w:eastAsiaTheme="minorHAnsi"/>
                <w:color w:val="000000"/>
                <w:lang w:eastAsia="en-US"/>
              </w:rPr>
            </w:pPr>
            <w:r w:rsidRPr="00970E2F">
              <w:rPr>
                <w:rFonts w:eastAsiaTheme="minorHAnsi"/>
                <w:color w:val="000000"/>
                <w:lang w:eastAsia="en-US"/>
              </w:rPr>
              <w:t xml:space="preserve">• tehnisko protokolu, arī </w:t>
            </w:r>
            <w:r w:rsidRPr="00970E2F">
              <w:rPr>
                <w:rFonts w:eastAsiaTheme="minorHAnsi"/>
                <w:i/>
                <w:iCs/>
                <w:color w:val="000000"/>
                <w:lang w:eastAsia="en-US"/>
              </w:rPr>
              <w:t xml:space="preserve">online </w:t>
            </w:r>
            <w:r w:rsidRPr="00970E2F">
              <w:rPr>
                <w:rFonts w:eastAsiaTheme="minorHAnsi"/>
                <w:color w:val="000000"/>
                <w:lang w:eastAsia="en-US"/>
              </w:rPr>
              <w:t xml:space="preserve">režīmā, izmantojot FIBA </w:t>
            </w:r>
            <w:r w:rsidRPr="00970E2F">
              <w:rPr>
                <w:rFonts w:eastAsiaTheme="minorHAnsi"/>
                <w:i/>
                <w:iCs/>
                <w:color w:val="000000"/>
                <w:lang w:eastAsia="en-US"/>
              </w:rPr>
              <w:t xml:space="preserve">LiveStats </w:t>
            </w:r>
            <w:r w:rsidRPr="00970E2F">
              <w:rPr>
                <w:rFonts w:eastAsiaTheme="minorHAnsi"/>
                <w:color w:val="000000"/>
                <w:lang w:eastAsia="en-US"/>
              </w:rPr>
              <w:t xml:space="preserve">programmu; </w:t>
            </w:r>
          </w:p>
          <w:p w:rsidR="00AC7728" w:rsidRPr="00970E2F" w:rsidRDefault="00AC7728" w:rsidP="00FE2C85">
            <w:pPr>
              <w:autoSpaceDE w:val="0"/>
              <w:autoSpaceDN w:val="0"/>
              <w:adjustRightInd w:val="0"/>
              <w:spacing w:after="19"/>
              <w:rPr>
                <w:rFonts w:eastAsiaTheme="minorHAnsi"/>
                <w:color w:val="000000"/>
                <w:lang w:eastAsia="en-US"/>
              </w:rPr>
            </w:pPr>
            <w:r w:rsidRPr="00970E2F">
              <w:rPr>
                <w:rFonts w:eastAsiaTheme="minorHAnsi"/>
                <w:color w:val="000000"/>
                <w:lang w:eastAsia="en-US"/>
              </w:rPr>
              <w:t xml:space="preserve">• dzeramo ūdeni komandām (uz katru spēli minimums 9 litri katrai komandai); </w:t>
            </w:r>
          </w:p>
          <w:p w:rsidR="00AC7728" w:rsidRPr="00970E2F" w:rsidRDefault="00AC7728" w:rsidP="00FE2C85">
            <w:pPr>
              <w:autoSpaceDE w:val="0"/>
              <w:autoSpaceDN w:val="0"/>
              <w:adjustRightInd w:val="0"/>
              <w:rPr>
                <w:rFonts w:eastAsiaTheme="minorHAnsi"/>
                <w:color w:val="000000"/>
                <w:lang w:eastAsia="en-US"/>
              </w:rPr>
            </w:pPr>
            <w:r w:rsidRPr="00970E2F">
              <w:rPr>
                <w:rFonts w:eastAsiaTheme="minorHAnsi"/>
                <w:color w:val="000000"/>
                <w:lang w:eastAsia="en-US"/>
              </w:rPr>
              <w:t xml:space="preserve">• medicīnas personālu. </w:t>
            </w:r>
          </w:p>
          <w:p w:rsidR="00AC7728" w:rsidRPr="00970E2F" w:rsidRDefault="00AC7728" w:rsidP="00FE2C85">
            <w:pPr>
              <w:autoSpaceDE w:val="0"/>
              <w:autoSpaceDN w:val="0"/>
              <w:adjustRightInd w:val="0"/>
              <w:rPr>
                <w:rFonts w:eastAsiaTheme="minorHAnsi"/>
                <w:color w:val="000000"/>
                <w:lang w:eastAsia="en-US"/>
              </w:rPr>
            </w:pPr>
            <w:r w:rsidRPr="00113350">
              <w:rPr>
                <w:rFonts w:eastAsiaTheme="minorHAnsi"/>
                <w:bCs/>
                <w:color w:val="000000"/>
                <w:lang w:eastAsia="en-US"/>
              </w:rPr>
              <w:t>3.</w:t>
            </w:r>
            <w:r>
              <w:rPr>
                <w:rFonts w:eastAsiaTheme="minorHAnsi"/>
                <w:b/>
                <w:bCs/>
                <w:color w:val="000000"/>
                <w:lang w:eastAsia="en-US"/>
              </w:rPr>
              <w:t xml:space="preserve"> </w:t>
            </w:r>
            <w:r w:rsidRPr="00970E2F">
              <w:rPr>
                <w:rFonts w:eastAsiaTheme="minorHAnsi"/>
                <w:b/>
                <w:bCs/>
                <w:color w:val="000000"/>
                <w:lang w:eastAsia="en-US"/>
              </w:rPr>
              <w:t xml:space="preserve">Sagatavot </w:t>
            </w:r>
            <w:r w:rsidRPr="00970E2F">
              <w:rPr>
                <w:rFonts w:eastAsiaTheme="minorHAnsi"/>
                <w:color w:val="000000"/>
                <w:lang w:eastAsia="en-US"/>
              </w:rPr>
              <w:t xml:space="preserve">treneriem mapītes ar primāri nepieciešamo informāciju – spēļu kalendāru, tabulu, karti (ja nepieciešams) vai jebkādu citu informāciju, kuru jums kā organizatoram ir svarīgi nodot komandām. </w:t>
            </w:r>
          </w:p>
          <w:p w:rsidR="00AC7728" w:rsidRPr="00970E2F" w:rsidRDefault="00AC7728" w:rsidP="00FE2C85">
            <w:pPr>
              <w:autoSpaceDE w:val="0"/>
              <w:autoSpaceDN w:val="0"/>
              <w:adjustRightInd w:val="0"/>
              <w:rPr>
                <w:rFonts w:eastAsiaTheme="minorHAnsi"/>
                <w:color w:val="000000"/>
                <w:lang w:eastAsia="en-US"/>
              </w:rPr>
            </w:pPr>
          </w:p>
          <w:p w:rsidR="00AC7728" w:rsidRPr="00970E2F" w:rsidRDefault="00AC7728" w:rsidP="00FE2C85">
            <w:pPr>
              <w:autoSpaceDE w:val="0"/>
              <w:autoSpaceDN w:val="0"/>
              <w:adjustRightInd w:val="0"/>
              <w:rPr>
                <w:rFonts w:eastAsiaTheme="minorHAnsi"/>
                <w:color w:val="000000"/>
                <w:lang w:eastAsia="en-US"/>
              </w:rPr>
            </w:pPr>
            <w:r>
              <w:rPr>
                <w:rFonts w:eastAsiaTheme="minorHAnsi"/>
                <w:color w:val="000000"/>
                <w:lang w:eastAsia="en-US"/>
              </w:rPr>
              <w:t xml:space="preserve">4. </w:t>
            </w:r>
            <w:r w:rsidRPr="00970E2F">
              <w:rPr>
                <w:rFonts w:eastAsiaTheme="minorHAnsi"/>
                <w:color w:val="000000"/>
                <w:lang w:eastAsia="en-US"/>
              </w:rPr>
              <w:t>Katras dienas tehniskie spēļu protokoli, īpaši, ja bijusi kāda</w:t>
            </w:r>
            <w:r>
              <w:rPr>
                <w:rFonts w:eastAsiaTheme="minorHAnsi"/>
                <w:color w:val="000000"/>
                <w:lang w:eastAsia="en-US"/>
              </w:rPr>
              <w:t xml:space="preserve"> tehniska problēma vai kļūda, jā</w:t>
            </w:r>
            <w:r w:rsidRPr="00970E2F">
              <w:rPr>
                <w:rFonts w:eastAsiaTheme="minorHAnsi"/>
                <w:color w:val="000000"/>
                <w:lang w:eastAsia="en-US"/>
              </w:rPr>
              <w:t>nosūta uz</w:t>
            </w:r>
            <w:r>
              <w:rPr>
                <w:rFonts w:eastAsiaTheme="minorHAnsi"/>
                <w:color w:val="000000"/>
                <w:lang w:eastAsia="en-US"/>
              </w:rPr>
              <w:t xml:space="preserve"> e-pasta adresi – </w:t>
            </w:r>
            <w:hyperlink r:id="rId13" w:history="1">
              <w:r w:rsidRPr="00F77016">
                <w:rPr>
                  <w:rStyle w:val="a4"/>
                  <w:lang w:eastAsia="en-US"/>
                </w:rPr>
                <w:t>alvis@eybl.lv</w:t>
              </w:r>
            </w:hyperlink>
            <w:r>
              <w:rPr>
                <w:rFonts w:eastAsiaTheme="minorHAnsi"/>
                <w:color w:val="000000"/>
                <w:lang w:eastAsia="en-US"/>
              </w:rPr>
              <w:t xml:space="preserve"> </w:t>
            </w:r>
          </w:p>
          <w:p w:rsidR="00AC7728" w:rsidRPr="00970E2F" w:rsidRDefault="00AC7728" w:rsidP="00FE2C85">
            <w:pPr>
              <w:autoSpaceDE w:val="0"/>
              <w:autoSpaceDN w:val="0"/>
              <w:adjustRightInd w:val="0"/>
              <w:rPr>
                <w:rFonts w:eastAsiaTheme="minorHAnsi"/>
                <w:color w:val="000000"/>
                <w:lang w:eastAsia="en-US"/>
              </w:rPr>
            </w:pPr>
          </w:p>
          <w:p w:rsidR="00AC7728" w:rsidRDefault="00AC7728" w:rsidP="00FE2C85">
            <w:pPr>
              <w:autoSpaceDE w:val="0"/>
              <w:autoSpaceDN w:val="0"/>
              <w:adjustRightInd w:val="0"/>
              <w:rPr>
                <w:rFonts w:eastAsiaTheme="minorHAnsi"/>
                <w:color w:val="000000"/>
                <w:lang w:eastAsia="en-US"/>
              </w:rPr>
            </w:pPr>
            <w:r>
              <w:rPr>
                <w:rFonts w:eastAsiaTheme="minorHAnsi"/>
                <w:color w:val="000000"/>
                <w:lang w:eastAsia="en-US"/>
              </w:rPr>
              <w:t xml:space="preserve">5. </w:t>
            </w:r>
            <w:r w:rsidRPr="00970E2F">
              <w:rPr>
                <w:rFonts w:eastAsiaTheme="minorHAnsi"/>
                <w:color w:val="000000"/>
                <w:lang w:eastAsia="en-US"/>
              </w:rPr>
              <w:t xml:space="preserve">Posma organizatori nodrošina fotogrāfa klātbūtni un 3 dienu laikā pēc turnīra nosūta foto uz: </w:t>
            </w:r>
            <w:hyperlink r:id="rId14" w:history="1">
              <w:r w:rsidRPr="00F77016">
                <w:rPr>
                  <w:rStyle w:val="a4"/>
                  <w:lang w:eastAsia="en-US"/>
                </w:rPr>
                <w:t>alvis@eybl.lv</w:t>
              </w:r>
            </w:hyperlink>
            <w:r>
              <w:rPr>
                <w:rFonts w:eastAsiaTheme="minorHAnsi"/>
                <w:color w:val="000000"/>
                <w:lang w:eastAsia="en-US"/>
              </w:rPr>
              <w:t xml:space="preserve"> . </w:t>
            </w:r>
          </w:p>
          <w:p w:rsidR="00AC7728" w:rsidRPr="00970E2F" w:rsidRDefault="00AC7728" w:rsidP="00FE2C85">
            <w:pPr>
              <w:autoSpaceDE w:val="0"/>
              <w:autoSpaceDN w:val="0"/>
              <w:adjustRightInd w:val="0"/>
              <w:rPr>
                <w:rFonts w:eastAsiaTheme="minorHAnsi"/>
                <w:color w:val="000000"/>
                <w:lang w:eastAsia="en-US"/>
              </w:rPr>
            </w:pPr>
          </w:p>
        </w:tc>
        <w:tc>
          <w:tcPr>
            <w:tcW w:w="1417" w:type="dxa"/>
          </w:tcPr>
          <w:p w:rsidR="00AC7728" w:rsidRDefault="00AC7728" w:rsidP="00FE2C85">
            <w:pPr>
              <w:jc w:val="center"/>
              <w:rPr>
                <w:rFonts w:eastAsia="Times New Roman"/>
                <w:color w:val="000000"/>
                <w:lang w:eastAsia="en-US"/>
              </w:rPr>
            </w:pPr>
          </w:p>
        </w:tc>
      </w:tr>
      <w:tr w:rsidR="00AC7728" w:rsidTr="00AC7728">
        <w:tc>
          <w:tcPr>
            <w:tcW w:w="846" w:type="dxa"/>
            <w:vAlign w:val="center"/>
          </w:tcPr>
          <w:p w:rsidR="00AC7728" w:rsidRDefault="00AC7728" w:rsidP="00FE2C85">
            <w:pPr>
              <w:pStyle w:val="a6"/>
              <w:numPr>
                <w:ilvl w:val="0"/>
                <w:numId w:val="19"/>
              </w:numPr>
              <w:jc w:val="center"/>
            </w:pPr>
          </w:p>
        </w:tc>
        <w:tc>
          <w:tcPr>
            <w:tcW w:w="1984" w:type="dxa"/>
          </w:tcPr>
          <w:p w:rsidR="00AC7728" w:rsidRDefault="00AC7728" w:rsidP="00FE2C85">
            <w:pPr>
              <w:spacing w:before="100" w:beforeAutospacing="1" w:after="100" w:afterAutospacing="1"/>
              <w:jc w:val="center"/>
              <w:rPr>
                <w:b/>
              </w:rPr>
            </w:pPr>
          </w:p>
          <w:p w:rsidR="00AC7728" w:rsidRPr="002D1062" w:rsidRDefault="00AC7728" w:rsidP="00FE2C85">
            <w:pPr>
              <w:spacing w:before="100" w:beforeAutospacing="1" w:after="100" w:afterAutospacing="1"/>
              <w:jc w:val="center"/>
              <w:rPr>
                <w:b/>
              </w:rPr>
            </w:pPr>
            <w:r w:rsidRPr="002D1062">
              <w:rPr>
                <w:b/>
              </w:rPr>
              <w:t>Apbalvošana</w:t>
            </w:r>
          </w:p>
        </w:tc>
        <w:tc>
          <w:tcPr>
            <w:tcW w:w="4820" w:type="dxa"/>
          </w:tcPr>
          <w:p w:rsidR="00AC7728" w:rsidRDefault="00AC7728" w:rsidP="00FE2C85">
            <w:pPr>
              <w:autoSpaceDE w:val="0"/>
              <w:autoSpaceDN w:val="0"/>
              <w:adjustRightInd w:val="0"/>
              <w:spacing w:after="19"/>
              <w:rPr>
                <w:rFonts w:eastAsiaTheme="minorHAnsi"/>
                <w:b/>
                <w:bCs/>
                <w:color w:val="000000"/>
                <w:lang w:eastAsia="en-US"/>
              </w:rPr>
            </w:pPr>
          </w:p>
          <w:p w:rsidR="00AC7728" w:rsidRPr="00970E2F" w:rsidRDefault="00AC7728" w:rsidP="00FE2C85">
            <w:pPr>
              <w:autoSpaceDE w:val="0"/>
              <w:autoSpaceDN w:val="0"/>
              <w:adjustRightInd w:val="0"/>
              <w:spacing w:after="19"/>
              <w:rPr>
                <w:rFonts w:eastAsiaTheme="minorHAnsi"/>
                <w:color w:val="000000"/>
                <w:lang w:eastAsia="en-US"/>
              </w:rPr>
            </w:pPr>
            <w:r w:rsidRPr="00970E2F">
              <w:rPr>
                <w:rFonts w:eastAsiaTheme="minorHAnsi"/>
                <w:b/>
                <w:bCs/>
                <w:color w:val="000000"/>
                <w:lang w:eastAsia="en-US"/>
              </w:rPr>
              <w:t>Apbalvošana posmā</w:t>
            </w:r>
            <w:r w:rsidRPr="00970E2F">
              <w:rPr>
                <w:rFonts w:eastAsiaTheme="minorHAnsi"/>
                <w:color w:val="000000"/>
                <w:lang w:eastAsia="en-US"/>
              </w:rPr>
              <w:t xml:space="preserve">: </w:t>
            </w:r>
          </w:p>
          <w:p w:rsidR="00AC7728" w:rsidRPr="00970E2F" w:rsidRDefault="00AC7728" w:rsidP="00FE2C85">
            <w:pPr>
              <w:autoSpaceDE w:val="0"/>
              <w:autoSpaceDN w:val="0"/>
              <w:adjustRightInd w:val="0"/>
              <w:spacing w:after="19"/>
              <w:rPr>
                <w:rFonts w:eastAsiaTheme="minorHAnsi"/>
                <w:color w:val="000000"/>
                <w:lang w:eastAsia="en-US"/>
              </w:rPr>
            </w:pPr>
            <w:r w:rsidRPr="00970E2F">
              <w:rPr>
                <w:rFonts w:eastAsiaTheme="minorHAnsi"/>
                <w:color w:val="000000"/>
                <w:lang w:eastAsia="en-US"/>
              </w:rPr>
              <w:t xml:space="preserve">• medaļas, kauss komandām, kas noslēdz posmu 1.- 3. vietā; </w:t>
            </w:r>
          </w:p>
          <w:p w:rsidR="00AC7728" w:rsidRPr="00970E2F" w:rsidRDefault="00AC7728" w:rsidP="00FE2C85">
            <w:pPr>
              <w:autoSpaceDE w:val="0"/>
              <w:autoSpaceDN w:val="0"/>
              <w:adjustRightInd w:val="0"/>
              <w:spacing w:after="19"/>
              <w:rPr>
                <w:rFonts w:eastAsiaTheme="minorHAnsi"/>
                <w:color w:val="000000"/>
                <w:lang w:eastAsia="en-US"/>
              </w:rPr>
            </w:pPr>
            <w:r w:rsidRPr="00970E2F">
              <w:rPr>
                <w:rFonts w:eastAsiaTheme="minorHAnsi"/>
                <w:color w:val="000000"/>
                <w:lang w:eastAsia="en-US"/>
              </w:rPr>
              <w:t xml:space="preserve">• kauss komandām, kas noslēdz posmu 4.- 8.vietā; </w:t>
            </w:r>
          </w:p>
          <w:p w:rsidR="00AC7728" w:rsidRPr="00970E2F" w:rsidRDefault="00AC7728" w:rsidP="00FE2C85">
            <w:pPr>
              <w:autoSpaceDE w:val="0"/>
              <w:autoSpaceDN w:val="0"/>
              <w:adjustRightInd w:val="0"/>
              <w:spacing w:after="19"/>
              <w:rPr>
                <w:rFonts w:eastAsiaTheme="minorHAnsi"/>
                <w:color w:val="000000"/>
                <w:lang w:eastAsia="en-US"/>
              </w:rPr>
            </w:pPr>
            <w:r w:rsidRPr="00970E2F">
              <w:rPr>
                <w:rFonts w:eastAsiaTheme="minorHAnsi"/>
                <w:color w:val="000000"/>
                <w:lang w:eastAsia="en-US"/>
              </w:rPr>
              <w:t xml:space="preserve">• kauss un balva turnīra labākajam (vienam) spēlētājam („MVP”); </w:t>
            </w:r>
          </w:p>
          <w:p w:rsidR="00AC7728" w:rsidRPr="00970E2F" w:rsidRDefault="00AC7728" w:rsidP="00FE2C85">
            <w:pPr>
              <w:autoSpaceDE w:val="0"/>
              <w:autoSpaceDN w:val="0"/>
              <w:adjustRightInd w:val="0"/>
              <w:spacing w:after="19"/>
              <w:rPr>
                <w:rFonts w:eastAsiaTheme="minorHAnsi"/>
                <w:color w:val="000000"/>
                <w:lang w:eastAsia="en-US"/>
              </w:rPr>
            </w:pPr>
            <w:r w:rsidRPr="00970E2F">
              <w:rPr>
                <w:rFonts w:eastAsiaTheme="minorHAnsi"/>
                <w:color w:val="000000"/>
                <w:lang w:eastAsia="en-US"/>
              </w:rPr>
              <w:t xml:space="preserve">• kausi un balvas turnīra 5 (pieciem) zvaigžņu spēlētājiem („ALL STARS”); </w:t>
            </w:r>
          </w:p>
          <w:p w:rsidR="00AC7728" w:rsidRPr="00970E2F" w:rsidRDefault="00AC7728" w:rsidP="00FE2C85">
            <w:pPr>
              <w:autoSpaceDE w:val="0"/>
              <w:autoSpaceDN w:val="0"/>
              <w:adjustRightInd w:val="0"/>
              <w:spacing w:after="19"/>
              <w:rPr>
                <w:rFonts w:eastAsiaTheme="minorHAnsi"/>
                <w:color w:val="000000"/>
                <w:lang w:eastAsia="en-US"/>
              </w:rPr>
            </w:pPr>
            <w:r w:rsidRPr="00970E2F">
              <w:rPr>
                <w:rFonts w:eastAsiaTheme="minorHAnsi"/>
                <w:color w:val="000000"/>
                <w:lang w:eastAsia="en-US"/>
              </w:rPr>
              <w:t xml:space="preserve">• kausi un balvas katras komandas labākajam spēlētājam 8 (astoņas) („TEAM BEST PLAYER”); </w:t>
            </w:r>
          </w:p>
          <w:p w:rsidR="00AC7728" w:rsidRPr="00970E2F" w:rsidRDefault="00AC7728" w:rsidP="00FE2C85">
            <w:pPr>
              <w:autoSpaceDE w:val="0"/>
              <w:autoSpaceDN w:val="0"/>
              <w:adjustRightInd w:val="0"/>
              <w:spacing w:after="19"/>
              <w:rPr>
                <w:rFonts w:eastAsiaTheme="minorHAnsi"/>
                <w:color w:val="000000"/>
                <w:lang w:eastAsia="en-US"/>
              </w:rPr>
            </w:pPr>
            <w:r w:rsidRPr="00970E2F">
              <w:rPr>
                <w:rFonts w:eastAsiaTheme="minorHAnsi"/>
                <w:color w:val="000000"/>
                <w:lang w:eastAsia="en-US"/>
              </w:rPr>
              <w:t xml:space="preserve">• ieteicams - individuālas piemiņas balvas visiem turnīra dalībniekiem ar EGBL logo un turnīra personalizāciju (EGBL logo, datums, vieta utt.); </w:t>
            </w:r>
          </w:p>
          <w:p w:rsidR="00AC7728" w:rsidRPr="002D1062" w:rsidRDefault="00AC7728" w:rsidP="00FE2C85">
            <w:pPr>
              <w:autoSpaceDE w:val="0"/>
              <w:autoSpaceDN w:val="0"/>
              <w:adjustRightInd w:val="0"/>
              <w:rPr>
                <w:rFonts w:eastAsiaTheme="minorHAnsi"/>
                <w:color w:val="000000"/>
                <w:lang w:eastAsia="en-US"/>
              </w:rPr>
            </w:pPr>
            <w:r w:rsidRPr="00970E2F">
              <w:rPr>
                <w:rFonts w:eastAsiaTheme="minorHAnsi"/>
                <w:color w:val="000000"/>
                <w:lang w:eastAsia="en-US"/>
              </w:rPr>
              <w:t>• turnīra rīkotājiem ir tie</w:t>
            </w:r>
            <w:r>
              <w:rPr>
                <w:rFonts w:eastAsiaTheme="minorHAnsi"/>
                <w:color w:val="000000"/>
                <w:lang w:eastAsia="en-US"/>
              </w:rPr>
              <w:t xml:space="preserve">sības palielināt balvu apjomu. </w:t>
            </w:r>
          </w:p>
        </w:tc>
        <w:tc>
          <w:tcPr>
            <w:tcW w:w="1417" w:type="dxa"/>
          </w:tcPr>
          <w:p w:rsidR="00AC7728" w:rsidRDefault="00AC7728" w:rsidP="00FE2C85">
            <w:pPr>
              <w:jc w:val="center"/>
              <w:rPr>
                <w:rFonts w:eastAsia="Times New Roman"/>
                <w:color w:val="000000"/>
                <w:lang w:eastAsia="en-US"/>
              </w:rPr>
            </w:pPr>
          </w:p>
        </w:tc>
      </w:tr>
      <w:tr w:rsidR="00AC7728" w:rsidTr="00AC7728">
        <w:tc>
          <w:tcPr>
            <w:tcW w:w="846" w:type="dxa"/>
            <w:vAlign w:val="center"/>
          </w:tcPr>
          <w:p w:rsidR="00AC7728" w:rsidRDefault="00AC7728" w:rsidP="00B26ACE">
            <w:pPr>
              <w:jc w:val="center"/>
            </w:pPr>
          </w:p>
        </w:tc>
        <w:tc>
          <w:tcPr>
            <w:tcW w:w="1984" w:type="dxa"/>
          </w:tcPr>
          <w:p w:rsidR="00AC7728" w:rsidRDefault="00AC7728" w:rsidP="00B26ACE">
            <w:pPr>
              <w:jc w:val="center"/>
              <w:rPr>
                <w:rFonts w:eastAsia="Times New Roman"/>
                <w:noProof/>
                <w:color w:val="000000"/>
                <w:lang w:eastAsia="en-US"/>
              </w:rPr>
            </w:pPr>
          </w:p>
        </w:tc>
        <w:tc>
          <w:tcPr>
            <w:tcW w:w="4820" w:type="dxa"/>
          </w:tcPr>
          <w:p w:rsidR="00AC7728" w:rsidRPr="00554973" w:rsidRDefault="00AC7728" w:rsidP="00554973">
            <w:pPr>
              <w:jc w:val="right"/>
              <w:rPr>
                <w:b/>
              </w:rPr>
            </w:pPr>
            <w:r w:rsidRPr="00554973">
              <w:rPr>
                <w:b/>
              </w:rPr>
              <w:t xml:space="preserve">Kopā: </w:t>
            </w:r>
          </w:p>
        </w:tc>
        <w:tc>
          <w:tcPr>
            <w:tcW w:w="1417" w:type="dxa"/>
          </w:tcPr>
          <w:p w:rsidR="00AC7728" w:rsidRDefault="00AC7728" w:rsidP="00B26ACE">
            <w:pPr>
              <w:jc w:val="center"/>
              <w:rPr>
                <w:rFonts w:eastAsia="Times New Roman"/>
                <w:color w:val="000000"/>
                <w:lang w:eastAsia="en-US"/>
              </w:rPr>
            </w:pPr>
          </w:p>
        </w:tc>
      </w:tr>
    </w:tbl>
    <w:p w:rsidR="00CA2DC9" w:rsidRPr="00CA2DC9" w:rsidRDefault="00CA2DC9" w:rsidP="00CA2DC9"/>
    <w:p w:rsidR="00EE5D10" w:rsidRDefault="00EE5D10" w:rsidP="00BB6F93"/>
    <w:p w:rsidR="00BB6F93" w:rsidRDefault="00B32FCF" w:rsidP="00BB6F93">
      <w:r>
        <w:t>3. Mēs apliecinām, ka</w:t>
      </w:r>
      <w:r w:rsidR="00BB6F93">
        <w:t>:</w:t>
      </w:r>
    </w:p>
    <w:p w:rsidR="00106513" w:rsidRDefault="00106513" w:rsidP="0040736E">
      <w:pPr>
        <w:pStyle w:val="a6"/>
        <w:numPr>
          <w:ilvl w:val="3"/>
          <w:numId w:val="7"/>
        </w:numPr>
        <w:ind w:left="1276" w:hanging="425"/>
        <w:jc w:val="both"/>
      </w:pPr>
      <w:r>
        <w:t xml:space="preserve">Līguma izpildes termiņš </w:t>
      </w:r>
      <w:r w:rsidR="00E04546">
        <w:rPr>
          <w:rFonts w:eastAsia="Times New Roman"/>
          <w:b/>
          <w:bCs/>
          <w:lang w:eastAsia="en-US"/>
        </w:rPr>
        <w:t>2022.gada 31.marts līdz 2022.gada 3.aprīlis</w:t>
      </w:r>
      <w:r>
        <w:rPr>
          <w:rFonts w:eastAsia="Times New Roman"/>
          <w:b/>
          <w:bCs/>
          <w:lang w:eastAsia="en-US"/>
        </w:rPr>
        <w:t xml:space="preserve">; </w:t>
      </w:r>
    </w:p>
    <w:p w:rsidR="00BB6F93" w:rsidRDefault="00BB6F93" w:rsidP="00BB6F93">
      <w:pPr>
        <w:pStyle w:val="a6"/>
        <w:numPr>
          <w:ilvl w:val="0"/>
          <w:numId w:val="7"/>
        </w:numPr>
      </w:pPr>
      <w:r>
        <w:t>Nekādā veidā neesam ieinteresēti nevienā citā piedāvājumā, kas iesniegts šajā iepirkumā;</w:t>
      </w:r>
    </w:p>
    <w:p w:rsidR="00E0337E" w:rsidRDefault="00BB6F93" w:rsidP="009763F3">
      <w:pPr>
        <w:pStyle w:val="a6"/>
        <w:numPr>
          <w:ilvl w:val="0"/>
          <w:numId w:val="7"/>
        </w:numPr>
      </w:pPr>
      <w:r>
        <w:t>Nav tādu apstākļu, kuri liegtu mums piedalīties iepirkumā un izpildīt tehniskās sp</w:t>
      </w:r>
      <w:r w:rsidR="00106513">
        <w:t xml:space="preserve">ecifikācijās norādītās prasības; </w:t>
      </w:r>
    </w:p>
    <w:p w:rsidR="00106513" w:rsidRPr="0098278A" w:rsidRDefault="00106513" w:rsidP="00106513">
      <w:pPr>
        <w:pStyle w:val="a6"/>
        <w:keepLines/>
        <w:widowControl w:val="0"/>
        <w:numPr>
          <w:ilvl w:val="0"/>
          <w:numId w:val="7"/>
        </w:numPr>
        <w:suppressAutoHyphens/>
        <w:jc w:val="both"/>
        <w:rPr>
          <w:rFonts w:eastAsia="Times New Roman"/>
          <w:lang w:eastAsia="ar-SA"/>
        </w:rPr>
      </w:pPr>
      <w:r>
        <w:t xml:space="preserve">Pasūtītās preces piegādāsim uz sava rēķina; </w:t>
      </w:r>
    </w:p>
    <w:p w:rsidR="005D6642" w:rsidRPr="005D6642" w:rsidRDefault="00106513" w:rsidP="00106513">
      <w:pPr>
        <w:pStyle w:val="a6"/>
        <w:numPr>
          <w:ilvl w:val="0"/>
          <w:numId w:val="7"/>
        </w:numPr>
      </w:pPr>
      <w:r>
        <w:t xml:space="preserve">Mums nav nodokļu parādi, tajā skaitā valsts sociālās apdrošināšanas obligāto iemaksu parādi, kas kopsummā kādā no valstīm sastāda 150 </w:t>
      </w:r>
      <w:r w:rsidR="005D6642">
        <w:rPr>
          <w:i/>
        </w:rPr>
        <w:t xml:space="preserve">euro; </w:t>
      </w:r>
    </w:p>
    <w:p w:rsidR="00106513" w:rsidRDefault="00106513" w:rsidP="00106513">
      <w:pPr>
        <w:pStyle w:val="a6"/>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0575CA" w:rsidRDefault="000575CA" w:rsidP="008379F1">
      <w:pPr>
        <w:pStyle w:val="a3"/>
        <w:rPr>
          <w:b/>
          <w:bCs/>
          <w:color w:val="000000"/>
          <w:sz w:val="48"/>
          <w:szCs w:val="48"/>
        </w:rPr>
      </w:pPr>
    </w:p>
    <w:sectPr w:rsidR="000575CA" w:rsidSect="008E71D5">
      <w:pgSz w:w="11906" w:h="16838" w:code="9"/>
      <w:pgMar w:top="1134"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C5" w:rsidRDefault="00B567C5" w:rsidP="00B46840">
      <w:r>
        <w:separator/>
      </w:r>
    </w:p>
  </w:endnote>
  <w:endnote w:type="continuationSeparator" w:id="0">
    <w:p w:rsidR="00B567C5" w:rsidRDefault="00B567C5"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C5" w:rsidRDefault="00B567C5" w:rsidP="00B46840">
      <w:r>
        <w:separator/>
      </w:r>
    </w:p>
  </w:footnote>
  <w:footnote w:type="continuationSeparator" w:id="0">
    <w:p w:rsidR="00B567C5" w:rsidRDefault="00B567C5"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F61D4"/>
    <w:multiLevelType w:val="hybridMultilevel"/>
    <w:tmpl w:val="BA48D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89401B"/>
    <w:multiLevelType w:val="hybridMultilevel"/>
    <w:tmpl w:val="0058823A"/>
    <w:lvl w:ilvl="0" w:tplc="9DD80B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17819"/>
    <w:multiLevelType w:val="hybridMultilevel"/>
    <w:tmpl w:val="540A5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3DF6281"/>
    <w:multiLevelType w:val="hybridMultilevel"/>
    <w:tmpl w:val="811A5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CAC372B"/>
    <w:multiLevelType w:val="hybridMultilevel"/>
    <w:tmpl w:val="36F4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57DD085A"/>
    <w:multiLevelType w:val="hybridMultilevel"/>
    <w:tmpl w:val="364A3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213B78"/>
    <w:multiLevelType w:val="hybridMultilevel"/>
    <w:tmpl w:val="44C22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3C5C3E"/>
    <w:multiLevelType w:val="hybridMultilevel"/>
    <w:tmpl w:val="41221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9642E0"/>
    <w:multiLevelType w:val="hybridMultilevel"/>
    <w:tmpl w:val="F7C26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5"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16" w15:restartNumberingAfterBreak="0">
    <w:nsid w:val="7C60380E"/>
    <w:multiLevelType w:val="hybridMultilevel"/>
    <w:tmpl w:val="8A961E0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8B2A09"/>
    <w:multiLevelType w:val="hybridMultilevel"/>
    <w:tmpl w:val="3DA89FAA"/>
    <w:lvl w:ilvl="0" w:tplc="A53EAA7A">
      <w:start w:val="9"/>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4"/>
  </w:num>
  <w:num w:numId="6">
    <w:abstractNumId w:val="6"/>
  </w:num>
  <w:num w:numId="7">
    <w:abstractNumId w:val="15"/>
  </w:num>
  <w:num w:numId="8">
    <w:abstractNumId w:val="0"/>
  </w:num>
  <w:num w:numId="9">
    <w:abstractNumId w:val="2"/>
  </w:num>
  <w:num w:numId="10">
    <w:abstractNumId w:val="7"/>
  </w:num>
  <w:num w:numId="11">
    <w:abstractNumId w:val="8"/>
  </w:num>
  <w:num w:numId="12">
    <w:abstractNumId w:val="11"/>
  </w:num>
  <w:num w:numId="13">
    <w:abstractNumId w:val="3"/>
  </w:num>
  <w:num w:numId="14">
    <w:abstractNumId w:val="5"/>
  </w:num>
  <w:num w:numId="15">
    <w:abstractNumId w:val="10"/>
  </w:num>
  <w:num w:numId="16">
    <w:abstractNumId w:val="16"/>
  </w:num>
  <w:num w:numId="17">
    <w:abstractNumId w:val="17"/>
  </w:num>
  <w:num w:numId="18">
    <w:abstractNumId w:val="1"/>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41DC"/>
    <w:rsid w:val="0001670A"/>
    <w:rsid w:val="00017A9C"/>
    <w:rsid w:val="00017FE6"/>
    <w:rsid w:val="00021100"/>
    <w:rsid w:val="00024CA5"/>
    <w:rsid w:val="000311B1"/>
    <w:rsid w:val="000470DF"/>
    <w:rsid w:val="000511AD"/>
    <w:rsid w:val="000575CA"/>
    <w:rsid w:val="000729D6"/>
    <w:rsid w:val="0008592F"/>
    <w:rsid w:val="00090337"/>
    <w:rsid w:val="000953A5"/>
    <w:rsid w:val="00096B18"/>
    <w:rsid w:val="000970B1"/>
    <w:rsid w:val="000A3350"/>
    <w:rsid w:val="000B0AE8"/>
    <w:rsid w:val="000B191D"/>
    <w:rsid w:val="000C218C"/>
    <w:rsid w:val="000E066E"/>
    <w:rsid w:val="000E3D73"/>
    <w:rsid w:val="000E676F"/>
    <w:rsid w:val="000F5930"/>
    <w:rsid w:val="001020E3"/>
    <w:rsid w:val="00106513"/>
    <w:rsid w:val="00112826"/>
    <w:rsid w:val="00112B16"/>
    <w:rsid w:val="001143E1"/>
    <w:rsid w:val="00153C4A"/>
    <w:rsid w:val="00156EA9"/>
    <w:rsid w:val="00166BFD"/>
    <w:rsid w:val="0017031C"/>
    <w:rsid w:val="00171439"/>
    <w:rsid w:val="00174430"/>
    <w:rsid w:val="001844E1"/>
    <w:rsid w:val="00194372"/>
    <w:rsid w:val="00195E52"/>
    <w:rsid w:val="001A0389"/>
    <w:rsid w:val="001B0C2D"/>
    <w:rsid w:val="001B609A"/>
    <w:rsid w:val="001C1707"/>
    <w:rsid w:val="001E4473"/>
    <w:rsid w:val="0020261B"/>
    <w:rsid w:val="00212BA2"/>
    <w:rsid w:val="00233F93"/>
    <w:rsid w:val="00243054"/>
    <w:rsid w:val="002455FF"/>
    <w:rsid w:val="0025165B"/>
    <w:rsid w:val="00280182"/>
    <w:rsid w:val="002904C6"/>
    <w:rsid w:val="00290D7C"/>
    <w:rsid w:val="002B2824"/>
    <w:rsid w:val="002B3BA9"/>
    <w:rsid w:val="002B594E"/>
    <w:rsid w:val="002B6F88"/>
    <w:rsid w:val="002C11B5"/>
    <w:rsid w:val="002C3D59"/>
    <w:rsid w:val="002D1062"/>
    <w:rsid w:val="002D132E"/>
    <w:rsid w:val="002E02CD"/>
    <w:rsid w:val="002E0D03"/>
    <w:rsid w:val="002E336C"/>
    <w:rsid w:val="003102BC"/>
    <w:rsid w:val="00334204"/>
    <w:rsid w:val="00344D73"/>
    <w:rsid w:val="00352C4E"/>
    <w:rsid w:val="00353323"/>
    <w:rsid w:val="00371F4F"/>
    <w:rsid w:val="003735C1"/>
    <w:rsid w:val="003816E6"/>
    <w:rsid w:val="003845C5"/>
    <w:rsid w:val="00393A4E"/>
    <w:rsid w:val="003B316C"/>
    <w:rsid w:val="003B48A9"/>
    <w:rsid w:val="003B5E7C"/>
    <w:rsid w:val="003C2445"/>
    <w:rsid w:val="003D2D91"/>
    <w:rsid w:val="003D3EB7"/>
    <w:rsid w:val="003D69AA"/>
    <w:rsid w:val="003E0F83"/>
    <w:rsid w:val="003E1B46"/>
    <w:rsid w:val="003E2584"/>
    <w:rsid w:val="003E722E"/>
    <w:rsid w:val="0040736E"/>
    <w:rsid w:val="004150B2"/>
    <w:rsid w:val="00417298"/>
    <w:rsid w:val="00421419"/>
    <w:rsid w:val="00430E94"/>
    <w:rsid w:val="004311A5"/>
    <w:rsid w:val="00436D9F"/>
    <w:rsid w:val="0045600F"/>
    <w:rsid w:val="00461DAB"/>
    <w:rsid w:val="00465E9C"/>
    <w:rsid w:val="00470F29"/>
    <w:rsid w:val="00480AA8"/>
    <w:rsid w:val="0049189B"/>
    <w:rsid w:val="00491A2A"/>
    <w:rsid w:val="004946E9"/>
    <w:rsid w:val="00496B48"/>
    <w:rsid w:val="0049759F"/>
    <w:rsid w:val="004A2817"/>
    <w:rsid w:val="004A2B35"/>
    <w:rsid w:val="004A325E"/>
    <w:rsid w:val="004A3F59"/>
    <w:rsid w:val="004C0EE8"/>
    <w:rsid w:val="004C2D2D"/>
    <w:rsid w:val="004D24FD"/>
    <w:rsid w:val="004D4FBC"/>
    <w:rsid w:val="004F24FC"/>
    <w:rsid w:val="0050269F"/>
    <w:rsid w:val="00504124"/>
    <w:rsid w:val="00506541"/>
    <w:rsid w:val="00511DAB"/>
    <w:rsid w:val="005246F1"/>
    <w:rsid w:val="00531F4A"/>
    <w:rsid w:val="00540E72"/>
    <w:rsid w:val="00542A4E"/>
    <w:rsid w:val="00554973"/>
    <w:rsid w:val="005579C2"/>
    <w:rsid w:val="005614D0"/>
    <w:rsid w:val="00561767"/>
    <w:rsid w:val="00564FD5"/>
    <w:rsid w:val="005651F2"/>
    <w:rsid w:val="00572A35"/>
    <w:rsid w:val="00575DB3"/>
    <w:rsid w:val="00577CF0"/>
    <w:rsid w:val="00580C3A"/>
    <w:rsid w:val="00581070"/>
    <w:rsid w:val="0058333A"/>
    <w:rsid w:val="00591BF8"/>
    <w:rsid w:val="005A3470"/>
    <w:rsid w:val="005B40B9"/>
    <w:rsid w:val="005C41A2"/>
    <w:rsid w:val="005D0F89"/>
    <w:rsid w:val="005D6642"/>
    <w:rsid w:val="005E2D99"/>
    <w:rsid w:val="005F3A3A"/>
    <w:rsid w:val="005F4CFF"/>
    <w:rsid w:val="00606225"/>
    <w:rsid w:val="00610EFE"/>
    <w:rsid w:val="0061376A"/>
    <w:rsid w:val="00635351"/>
    <w:rsid w:val="00636F05"/>
    <w:rsid w:val="006563E8"/>
    <w:rsid w:val="00683D0C"/>
    <w:rsid w:val="0069617C"/>
    <w:rsid w:val="006A102F"/>
    <w:rsid w:val="006B070E"/>
    <w:rsid w:val="006C32EB"/>
    <w:rsid w:val="006C7C9E"/>
    <w:rsid w:val="006D3EC5"/>
    <w:rsid w:val="006D66BD"/>
    <w:rsid w:val="006E1488"/>
    <w:rsid w:val="006E216F"/>
    <w:rsid w:val="006E4073"/>
    <w:rsid w:val="006E7A19"/>
    <w:rsid w:val="006F6E73"/>
    <w:rsid w:val="006F7926"/>
    <w:rsid w:val="0070155E"/>
    <w:rsid w:val="00706737"/>
    <w:rsid w:val="00710309"/>
    <w:rsid w:val="007131FA"/>
    <w:rsid w:val="00727C3B"/>
    <w:rsid w:val="007335C6"/>
    <w:rsid w:val="007529FA"/>
    <w:rsid w:val="00753A06"/>
    <w:rsid w:val="00754122"/>
    <w:rsid w:val="00760370"/>
    <w:rsid w:val="00763752"/>
    <w:rsid w:val="00771249"/>
    <w:rsid w:val="00774DB0"/>
    <w:rsid w:val="00785D0F"/>
    <w:rsid w:val="007945FC"/>
    <w:rsid w:val="007949A7"/>
    <w:rsid w:val="007A0D9D"/>
    <w:rsid w:val="007A67A1"/>
    <w:rsid w:val="007A7B96"/>
    <w:rsid w:val="007B04E8"/>
    <w:rsid w:val="007B4FA4"/>
    <w:rsid w:val="007B5008"/>
    <w:rsid w:val="007B5249"/>
    <w:rsid w:val="007C3227"/>
    <w:rsid w:val="007C32E7"/>
    <w:rsid w:val="007D3206"/>
    <w:rsid w:val="007D4E7C"/>
    <w:rsid w:val="007F6B8F"/>
    <w:rsid w:val="007F739A"/>
    <w:rsid w:val="008140D8"/>
    <w:rsid w:val="00820313"/>
    <w:rsid w:val="0082594B"/>
    <w:rsid w:val="00826586"/>
    <w:rsid w:val="00830727"/>
    <w:rsid w:val="00833B3D"/>
    <w:rsid w:val="008379F1"/>
    <w:rsid w:val="0084024C"/>
    <w:rsid w:val="00841860"/>
    <w:rsid w:val="0086137D"/>
    <w:rsid w:val="0086319F"/>
    <w:rsid w:val="008666B4"/>
    <w:rsid w:val="008671B6"/>
    <w:rsid w:val="008A4151"/>
    <w:rsid w:val="008A6B1C"/>
    <w:rsid w:val="008B4A98"/>
    <w:rsid w:val="008B7743"/>
    <w:rsid w:val="008C6DC8"/>
    <w:rsid w:val="008D2F7E"/>
    <w:rsid w:val="008E3D70"/>
    <w:rsid w:val="008E4FCD"/>
    <w:rsid w:val="008E5C01"/>
    <w:rsid w:val="008E71D5"/>
    <w:rsid w:val="008E7C41"/>
    <w:rsid w:val="008F439A"/>
    <w:rsid w:val="00910D09"/>
    <w:rsid w:val="00915078"/>
    <w:rsid w:val="00920156"/>
    <w:rsid w:val="0092163D"/>
    <w:rsid w:val="00926E03"/>
    <w:rsid w:val="009366A8"/>
    <w:rsid w:val="00945D34"/>
    <w:rsid w:val="00952F3D"/>
    <w:rsid w:val="00961330"/>
    <w:rsid w:val="00970C20"/>
    <w:rsid w:val="009763F3"/>
    <w:rsid w:val="00984892"/>
    <w:rsid w:val="00995063"/>
    <w:rsid w:val="00997F93"/>
    <w:rsid w:val="009A0C53"/>
    <w:rsid w:val="009B1703"/>
    <w:rsid w:val="009C0406"/>
    <w:rsid w:val="009D2C62"/>
    <w:rsid w:val="009D5C71"/>
    <w:rsid w:val="009E4151"/>
    <w:rsid w:val="009E7E33"/>
    <w:rsid w:val="009F3ED2"/>
    <w:rsid w:val="009F5577"/>
    <w:rsid w:val="00A02666"/>
    <w:rsid w:val="00A11F1B"/>
    <w:rsid w:val="00A22DE1"/>
    <w:rsid w:val="00A25BE7"/>
    <w:rsid w:val="00A27598"/>
    <w:rsid w:val="00A30BE5"/>
    <w:rsid w:val="00A30FFB"/>
    <w:rsid w:val="00A36003"/>
    <w:rsid w:val="00A7227F"/>
    <w:rsid w:val="00A76849"/>
    <w:rsid w:val="00A94094"/>
    <w:rsid w:val="00AB1D82"/>
    <w:rsid w:val="00AB692F"/>
    <w:rsid w:val="00AC26BE"/>
    <w:rsid w:val="00AC365C"/>
    <w:rsid w:val="00AC56AF"/>
    <w:rsid w:val="00AC7728"/>
    <w:rsid w:val="00AD0B7D"/>
    <w:rsid w:val="00AD2F6C"/>
    <w:rsid w:val="00AD49D4"/>
    <w:rsid w:val="00AD6EC3"/>
    <w:rsid w:val="00AE1472"/>
    <w:rsid w:val="00AE68C2"/>
    <w:rsid w:val="00AE76FA"/>
    <w:rsid w:val="00AF1EE3"/>
    <w:rsid w:val="00AF3645"/>
    <w:rsid w:val="00B102D2"/>
    <w:rsid w:val="00B153FE"/>
    <w:rsid w:val="00B22FB7"/>
    <w:rsid w:val="00B231AC"/>
    <w:rsid w:val="00B2545B"/>
    <w:rsid w:val="00B26ACE"/>
    <w:rsid w:val="00B27AC0"/>
    <w:rsid w:val="00B3022C"/>
    <w:rsid w:val="00B3134E"/>
    <w:rsid w:val="00B32568"/>
    <w:rsid w:val="00B32FCF"/>
    <w:rsid w:val="00B33B61"/>
    <w:rsid w:val="00B35CEE"/>
    <w:rsid w:val="00B37E7D"/>
    <w:rsid w:val="00B4358F"/>
    <w:rsid w:val="00B46297"/>
    <w:rsid w:val="00B46840"/>
    <w:rsid w:val="00B46CAD"/>
    <w:rsid w:val="00B54646"/>
    <w:rsid w:val="00B5550B"/>
    <w:rsid w:val="00B567C5"/>
    <w:rsid w:val="00B644A6"/>
    <w:rsid w:val="00B67253"/>
    <w:rsid w:val="00B86D8D"/>
    <w:rsid w:val="00B92AA4"/>
    <w:rsid w:val="00B937AB"/>
    <w:rsid w:val="00BA3031"/>
    <w:rsid w:val="00BB6F93"/>
    <w:rsid w:val="00BC7FAC"/>
    <w:rsid w:val="00BD2B8B"/>
    <w:rsid w:val="00BE29C0"/>
    <w:rsid w:val="00BE68D7"/>
    <w:rsid w:val="00BE6D4B"/>
    <w:rsid w:val="00BF267B"/>
    <w:rsid w:val="00C1154B"/>
    <w:rsid w:val="00C20ADD"/>
    <w:rsid w:val="00C22EF1"/>
    <w:rsid w:val="00C26B23"/>
    <w:rsid w:val="00C312B4"/>
    <w:rsid w:val="00C369F4"/>
    <w:rsid w:val="00C41094"/>
    <w:rsid w:val="00C42EC5"/>
    <w:rsid w:val="00C52344"/>
    <w:rsid w:val="00C62424"/>
    <w:rsid w:val="00C65740"/>
    <w:rsid w:val="00C675AC"/>
    <w:rsid w:val="00C7456D"/>
    <w:rsid w:val="00C970CF"/>
    <w:rsid w:val="00CA13A0"/>
    <w:rsid w:val="00CA2DC9"/>
    <w:rsid w:val="00CB2BF0"/>
    <w:rsid w:val="00CB7E3E"/>
    <w:rsid w:val="00CC72BF"/>
    <w:rsid w:val="00CD64D2"/>
    <w:rsid w:val="00CE13F7"/>
    <w:rsid w:val="00CE273B"/>
    <w:rsid w:val="00CE2CF3"/>
    <w:rsid w:val="00CF1BEC"/>
    <w:rsid w:val="00D211C9"/>
    <w:rsid w:val="00D23CDB"/>
    <w:rsid w:val="00D3331F"/>
    <w:rsid w:val="00D607BF"/>
    <w:rsid w:val="00D6550A"/>
    <w:rsid w:val="00D662FF"/>
    <w:rsid w:val="00D8717F"/>
    <w:rsid w:val="00D91B07"/>
    <w:rsid w:val="00D923B8"/>
    <w:rsid w:val="00D94404"/>
    <w:rsid w:val="00DB27F5"/>
    <w:rsid w:val="00DB3473"/>
    <w:rsid w:val="00DC254F"/>
    <w:rsid w:val="00DC5512"/>
    <w:rsid w:val="00DD1777"/>
    <w:rsid w:val="00DD2C92"/>
    <w:rsid w:val="00DD3B34"/>
    <w:rsid w:val="00DE0361"/>
    <w:rsid w:val="00DE27E7"/>
    <w:rsid w:val="00DE3A99"/>
    <w:rsid w:val="00DE435C"/>
    <w:rsid w:val="00DF4F4A"/>
    <w:rsid w:val="00E00128"/>
    <w:rsid w:val="00E020F2"/>
    <w:rsid w:val="00E0337E"/>
    <w:rsid w:val="00E03B47"/>
    <w:rsid w:val="00E04546"/>
    <w:rsid w:val="00E04EF5"/>
    <w:rsid w:val="00E05596"/>
    <w:rsid w:val="00E14298"/>
    <w:rsid w:val="00E24AD6"/>
    <w:rsid w:val="00E26552"/>
    <w:rsid w:val="00E44BD6"/>
    <w:rsid w:val="00E54243"/>
    <w:rsid w:val="00E57939"/>
    <w:rsid w:val="00E6369F"/>
    <w:rsid w:val="00E6580C"/>
    <w:rsid w:val="00E65B22"/>
    <w:rsid w:val="00E66ED3"/>
    <w:rsid w:val="00E747E1"/>
    <w:rsid w:val="00E833EB"/>
    <w:rsid w:val="00E843B5"/>
    <w:rsid w:val="00EA1826"/>
    <w:rsid w:val="00EA5AA3"/>
    <w:rsid w:val="00EC3DAE"/>
    <w:rsid w:val="00EC4E6C"/>
    <w:rsid w:val="00EC4F57"/>
    <w:rsid w:val="00ED3D5E"/>
    <w:rsid w:val="00ED409A"/>
    <w:rsid w:val="00ED68CA"/>
    <w:rsid w:val="00EE52A3"/>
    <w:rsid w:val="00EE5D10"/>
    <w:rsid w:val="00EF3AC6"/>
    <w:rsid w:val="00F006D1"/>
    <w:rsid w:val="00F0167C"/>
    <w:rsid w:val="00F01B35"/>
    <w:rsid w:val="00F17FC3"/>
    <w:rsid w:val="00F218CF"/>
    <w:rsid w:val="00F24FA8"/>
    <w:rsid w:val="00F34FFC"/>
    <w:rsid w:val="00F36833"/>
    <w:rsid w:val="00F4243D"/>
    <w:rsid w:val="00F43AFA"/>
    <w:rsid w:val="00F50A2B"/>
    <w:rsid w:val="00F50F04"/>
    <w:rsid w:val="00F57553"/>
    <w:rsid w:val="00F67B71"/>
    <w:rsid w:val="00F70948"/>
    <w:rsid w:val="00F7183A"/>
    <w:rsid w:val="00F80139"/>
    <w:rsid w:val="00F84C5E"/>
    <w:rsid w:val="00F95D95"/>
    <w:rsid w:val="00FA15D7"/>
    <w:rsid w:val="00FA5785"/>
    <w:rsid w:val="00FC5789"/>
    <w:rsid w:val="00FC59C7"/>
    <w:rsid w:val="00FD1E13"/>
    <w:rsid w:val="00FD4297"/>
    <w:rsid w:val="00FD5BE8"/>
    <w:rsid w:val="00FE2C85"/>
    <w:rsid w:val="00FE622C"/>
    <w:rsid w:val="00FF0354"/>
    <w:rsid w:val="00FF215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A1953-BAA2-48F8-B650-2D65273C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 w:id="20264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jss@daugavpils.edu.lv" TargetMode="External"/><Relationship Id="rId13" Type="http://schemas.openxmlformats.org/officeDocument/2006/relationships/hyperlink" Target="mailto:alvis@eybl.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vis@eybl.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vis@eybl.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dbjss@daugavpils.edu.lv" TargetMode="External"/><Relationship Id="rId14" Type="http://schemas.openxmlformats.org/officeDocument/2006/relationships/hyperlink" Target="mailto:alvis@eyb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5FBEA-59CD-40D4-9F42-5CCB402D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5</Pages>
  <Words>1140</Words>
  <Characters>6501</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146</cp:revision>
  <cp:lastPrinted>2021-07-05T11:14:00Z</cp:lastPrinted>
  <dcterms:created xsi:type="dcterms:W3CDTF">2020-04-17T07:46:00Z</dcterms:created>
  <dcterms:modified xsi:type="dcterms:W3CDTF">2022-03-16T13:37:00Z</dcterms:modified>
</cp:coreProperties>
</file>