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N.Čemodanovs</w:t>
      </w:r>
    </w:p>
    <w:p w:rsidR="00763752" w:rsidRPr="0079534E" w:rsidRDefault="00D7525A" w:rsidP="00763752">
      <w:pPr>
        <w:suppressAutoHyphens/>
        <w:jc w:val="right"/>
        <w:rPr>
          <w:rFonts w:eastAsia="Times New Roman"/>
          <w:bCs/>
          <w:caps/>
          <w:lang w:eastAsia="ar-SA"/>
        </w:rPr>
      </w:pPr>
      <w:r>
        <w:rPr>
          <w:rFonts w:eastAsia="Times New Roman"/>
          <w:bCs/>
          <w:lang w:eastAsia="ar-SA"/>
        </w:rPr>
        <w:t>Daugavpilī, 2021</w:t>
      </w:r>
      <w:r w:rsidR="00763752" w:rsidRPr="00CF1BEC">
        <w:rPr>
          <w:rFonts w:eastAsia="Times New Roman"/>
          <w:bCs/>
          <w:lang w:eastAsia="ar-SA"/>
        </w:rPr>
        <w:t xml:space="preserve">.gada </w:t>
      </w:r>
      <w:r w:rsidR="00D33981">
        <w:rPr>
          <w:rFonts w:eastAsia="Times New Roman"/>
          <w:bCs/>
          <w:lang w:eastAsia="ar-SA"/>
        </w:rPr>
        <w:t>27</w:t>
      </w:r>
      <w:r w:rsidR="008B4EBE" w:rsidRPr="0079534E">
        <w:rPr>
          <w:rFonts w:eastAsia="Times New Roman"/>
          <w:bCs/>
          <w:lang w:eastAsia="ar-SA"/>
        </w:rPr>
        <w:t>.</w:t>
      </w:r>
      <w:r w:rsidR="004D3974">
        <w:rPr>
          <w:rFonts w:eastAsia="Times New Roman"/>
          <w:bCs/>
          <w:lang w:eastAsia="ar-SA"/>
        </w:rPr>
        <w:t xml:space="preserve"> </w:t>
      </w:r>
      <w:r w:rsidR="00D33981">
        <w:rPr>
          <w:rFonts w:eastAsia="Times New Roman"/>
          <w:bCs/>
          <w:lang w:eastAsia="ar-SA"/>
        </w:rPr>
        <w:t xml:space="preserve">decembrī </w:t>
      </w:r>
    </w:p>
    <w:p w:rsidR="00763752" w:rsidRDefault="00763752" w:rsidP="00763752">
      <w:pPr>
        <w:suppressAutoHyphens/>
        <w:jc w:val="center"/>
        <w:rPr>
          <w:rFonts w:eastAsia="Times New Roman"/>
          <w:b/>
          <w:bCs/>
          <w:caps/>
          <w:lang w:eastAsia="ar-SA"/>
        </w:rPr>
      </w:pPr>
    </w:p>
    <w:p w:rsidR="004F79F3" w:rsidRDefault="00D7525A" w:rsidP="004F79F3">
      <w:pPr>
        <w:suppressAutoHyphens/>
        <w:rPr>
          <w:rFonts w:eastAsia="Times New Roman"/>
          <w:bCs/>
          <w:lang w:eastAsia="ar-SA"/>
        </w:rPr>
      </w:pPr>
      <w:r>
        <w:rPr>
          <w:rFonts w:eastAsia="Times New Roman"/>
          <w:bCs/>
          <w:lang w:eastAsia="ar-SA"/>
        </w:rPr>
        <w:t>Nr. DBJSS2021</w:t>
      </w:r>
      <w:r w:rsidR="004D3974">
        <w:rPr>
          <w:rFonts w:eastAsia="Times New Roman"/>
          <w:bCs/>
          <w:lang w:eastAsia="ar-SA"/>
        </w:rPr>
        <w:t>/</w:t>
      </w:r>
      <w:r w:rsidR="00D33981">
        <w:rPr>
          <w:rFonts w:eastAsia="Times New Roman"/>
          <w:bCs/>
          <w:lang w:eastAsia="ar-SA"/>
        </w:rPr>
        <w:t>15</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 xml:space="preserve">Daugavpils BJSS basketbola </w:t>
      </w:r>
      <w:r w:rsidR="00D33981">
        <w:rPr>
          <w:rFonts w:eastAsia="Times New Roman"/>
          <w:b/>
          <w:bCs/>
          <w:lang w:eastAsia="en-US"/>
        </w:rPr>
        <w:t xml:space="preserve">sacensību “Jaungads - 2022” </w:t>
      </w:r>
      <w:r>
        <w:rPr>
          <w:rFonts w:eastAsia="Times New Roman"/>
          <w:b/>
          <w:bCs/>
          <w:lang w:eastAsia="en-US"/>
        </w:rPr>
        <w:t>spēļu</w:t>
      </w:r>
      <w:r w:rsidR="001D1E1D">
        <w:rPr>
          <w:rFonts w:eastAsia="Times New Roman"/>
          <w:b/>
          <w:bCs/>
          <w:lang w:eastAsia="en-US"/>
        </w:rPr>
        <w:t xml:space="preserve"> </w:t>
      </w:r>
      <w:r w:rsidR="00ED1ACE">
        <w:rPr>
          <w:rFonts w:eastAsia="Times New Roman"/>
          <w:b/>
          <w:bCs/>
          <w:lang w:eastAsia="en-US"/>
        </w:rPr>
        <w:t>tiesāšana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D33981" w:rsidRPr="00507C15">
                <w:rPr>
                  <w:rStyle w:val="a4"/>
                  <w:rFonts w:eastAsia="Times New Roman"/>
                  <w:lang w:eastAsia="en-US"/>
                </w:rPr>
                <w:t>nikolajs.cemodanovs@daugavpils.edu.lv</w:t>
              </w:r>
            </w:hyperlink>
            <w:r w:rsidR="00D7525A">
              <w:rPr>
                <w:rStyle w:val="a4"/>
                <w:rFonts w:eastAsia="Times New Roman"/>
                <w:lang w:eastAsia="en-US"/>
              </w:rPr>
              <w:t xml:space="preserve"> </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7525A" w:rsidP="00763752">
            <w:pPr>
              <w:suppressAutoHyphens/>
              <w:jc w:val="both"/>
              <w:rPr>
                <w:rFonts w:eastAsia="Times New Roman"/>
                <w:lang w:eastAsia="en-US"/>
              </w:rPr>
            </w:pPr>
            <w:r>
              <w:rPr>
                <w:rFonts w:eastAsia="Times New Roman"/>
                <w:lang w:eastAsia="en-US"/>
              </w:rPr>
              <w:t>Izglītības metodiķe</w:t>
            </w:r>
            <w:r w:rsidR="00ED1ACE">
              <w:rPr>
                <w:rFonts w:eastAsia="Times New Roman"/>
                <w:lang w:eastAsia="en-US"/>
              </w:rPr>
              <w:t xml:space="preserve"> </w:t>
            </w:r>
            <w:r>
              <w:rPr>
                <w:rFonts w:eastAsia="Times New Roman"/>
                <w:lang w:eastAsia="en-US"/>
              </w:rPr>
              <w:t>Laura Vilcāne</w:t>
            </w:r>
            <w:r w:rsidR="00432B18">
              <w:rPr>
                <w:rFonts w:eastAsia="Times New Roman"/>
                <w:lang w:eastAsia="en-US"/>
              </w:rPr>
              <w:t>, tāl.</w:t>
            </w:r>
            <w:r>
              <w:rPr>
                <w:rFonts w:eastAsia="Times New Roman"/>
                <w:lang w:eastAsia="en-US"/>
              </w:rPr>
              <w:t xml:space="preserve">65421807 </w:t>
            </w:r>
          </w:p>
          <w:p w:rsidR="00A02666" w:rsidRPr="00CF1BEC" w:rsidRDefault="00A02666" w:rsidP="00D7525A">
            <w:pPr>
              <w:suppressAutoHyphens/>
              <w:jc w:val="both"/>
              <w:rPr>
                <w:rFonts w:eastAsia="Times New Roman"/>
                <w:lang w:eastAsia="en-US"/>
              </w:rPr>
            </w:pPr>
            <w:r>
              <w:rPr>
                <w:rFonts w:eastAsia="Times New Roman"/>
                <w:lang w:eastAsia="en-US"/>
              </w:rPr>
              <w:t>e-pasts:</w:t>
            </w:r>
            <w:r w:rsidR="00D7525A">
              <w:rPr>
                <w:rFonts w:eastAsia="Times New Roman"/>
                <w:lang w:eastAsia="en-US"/>
              </w:rPr>
              <w:t xml:space="preserve"> </w:t>
            </w:r>
            <w:hyperlink r:id="rId9" w:history="1">
              <w:r w:rsidR="00D33981" w:rsidRPr="00507C15">
                <w:rPr>
                  <w:rStyle w:val="a4"/>
                  <w:rFonts w:eastAsia="Times New Roman"/>
                  <w:lang w:eastAsia="en-US"/>
                </w:rPr>
                <w:t>laura.vilcane@daugavpils.edu.lv</w:t>
              </w:r>
            </w:hyperlink>
            <w:r w:rsidR="00D7525A">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D33981">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D33981" w:rsidRPr="00D33981">
        <w:rPr>
          <w:rFonts w:eastAsia="Times New Roman"/>
          <w:bCs/>
          <w:lang w:eastAsia="en-US"/>
        </w:rPr>
        <w:t>Daugavpils BJSS basketbola sacensību “Jaungads - 2022” spēļu tiesāšana</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D33981">
        <w:rPr>
          <w:rFonts w:eastAsia="Times New Roman"/>
          <w:bCs/>
          <w:lang w:eastAsia="en-US"/>
        </w:rPr>
        <w:t xml:space="preserve">280,00. </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D33981">
        <w:rPr>
          <w:rFonts w:eastAsia="Times New Roman"/>
          <w:bCs/>
          <w:lang w:eastAsia="en-US"/>
        </w:rPr>
        <w:t xml:space="preserve">2021.gada 30.decembris. </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2B53ED">
        <w:rPr>
          <w:rFonts w:eastAsia="Times New Roman"/>
          <w:b/>
          <w:bCs/>
          <w:lang w:eastAsia="en-US"/>
        </w:rPr>
        <w:t>2021</w:t>
      </w:r>
      <w:r w:rsidR="00763752" w:rsidRPr="00CF1BEC">
        <w:rPr>
          <w:rFonts w:eastAsia="Times New Roman"/>
          <w:b/>
          <w:bCs/>
          <w:lang w:eastAsia="en-US"/>
        </w:rPr>
        <w:t xml:space="preserve">.gada </w:t>
      </w:r>
      <w:r w:rsidR="00D33981">
        <w:rPr>
          <w:rFonts w:eastAsia="Times New Roman"/>
          <w:b/>
          <w:bCs/>
          <w:lang w:eastAsia="en-US"/>
        </w:rPr>
        <w:t>29</w:t>
      </w:r>
      <w:r w:rsidR="0079534E" w:rsidRPr="003566B4">
        <w:rPr>
          <w:rFonts w:eastAsia="Times New Roman"/>
          <w:b/>
          <w:bCs/>
          <w:lang w:eastAsia="en-US"/>
        </w:rPr>
        <w:t>.</w:t>
      </w:r>
      <w:r w:rsidR="003F557D">
        <w:rPr>
          <w:rFonts w:eastAsia="Times New Roman"/>
          <w:b/>
          <w:bCs/>
          <w:lang w:eastAsia="en-US"/>
        </w:rPr>
        <w:t xml:space="preserve"> </w:t>
      </w:r>
      <w:r w:rsidR="00D33981">
        <w:rPr>
          <w:rFonts w:eastAsia="Times New Roman"/>
          <w:b/>
          <w:bCs/>
          <w:lang w:eastAsia="en-US"/>
        </w:rPr>
        <w:t>decembrim</w:t>
      </w:r>
      <w:r w:rsidR="00A27F86" w:rsidRPr="003566B4">
        <w:rPr>
          <w:rFonts w:eastAsia="Times New Roman"/>
          <w:b/>
          <w:bCs/>
          <w:lang w:eastAsia="en-US"/>
        </w:rPr>
        <w:t xml:space="preserve"> plkst.</w:t>
      </w:r>
      <w:r w:rsidR="00D33981">
        <w:rPr>
          <w:rFonts w:eastAsia="Times New Roman"/>
          <w:b/>
          <w:bCs/>
          <w:lang w:eastAsia="en-US"/>
        </w:rPr>
        <w:t xml:space="preserve"> 9</w:t>
      </w:r>
      <w:r w:rsidR="00A27F86" w:rsidRPr="003566B4">
        <w:rPr>
          <w:rFonts w:eastAsia="Times New Roman"/>
          <w:b/>
          <w:bCs/>
          <w:lang w:eastAsia="en-US"/>
        </w:rPr>
        <w:t>:00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1C7383" w:rsidRPr="00507C15">
          <w:rPr>
            <w:rStyle w:val="a4"/>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0" w:name="OLE_LINK1"/>
      <w:bookmarkStart w:id="1"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1C7383" w:rsidRDefault="001C7383" w:rsidP="00C46920">
      <w:pPr>
        <w:pStyle w:val="a6"/>
        <w:ind w:firstLine="720"/>
        <w:jc w:val="right"/>
        <w:rPr>
          <w:b/>
        </w:rPr>
      </w:pPr>
    </w:p>
    <w:p w:rsidR="001C7383" w:rsidRDefault="001C7383" w:rsidP="00C46920">
      <w:pPr>
        <w:pStyle w:val="a6"/>
        <w:ind w:firstLine="720"/>
        <w:jc w:val="right"/>
        <w:rPr>
          <w:b/>
        </w:rPr>
      </w:pPr>
    </w:p>
    <w:p w:rsidR="00D94404" w:rsidRPr="00204791" w:rsidRDefault="00D94404" w:rsidP="00C46920">
      <w:pPr>
        <w:pStyle w:val="a6"/>
        <w:ind w:firstLine="720"/>
        <w:jc w:val="right"/>
        <w:rPr>
          <w:b/>
        </w:rPr>
      </w:pPr>
      <w:bookmarkStart w:id="2" w:name="_GoBack"/>
      <w:bookmarkEnd w:id="2"/>
      <w:r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1C7383">
      <w:pPr>
        <w:suppressAutoHyphens/>
        <w:rPr>
          <w:rFonts w:eastAsia="Times New Roman"/>
          <w:b/>
          <w:bCs/>
          <w:lang w:eastAsia="en-US"/>
        </w:rPr>
      </w:pPr>
      <w:r w:rsidRPr="00D94404">
        <w:rPr>
          <w:b/>
        </w:rPr>
        <w:t xml:space="preserve">Veicamā darba uzdevumi: </w:t>
      </w:r>
      <w:r w:rsidR="001C7383" w:rsidRPr="001C7383">
        <w:rPr>
          <w:rFonts w:eastAsia="Times New Roman"/>
          <w:bCs/>
          <w:lang w:eastAsia="en-US"/>
        </w:rPr>
        <w:t>Daugavpils BJSS basketbola sacensību “Jaungads - 2022” spēļu tiesāšana</w:t>
      </w:r>
      <w:r w:rsidR="001C7383" w:rsidRPr="001C7383">
        <w:rPr>
          <w:rFonts w:eastAsia="Times New Roman"/>
          <w:bCs/>
          <w:lang w:eastAsia="en-US"/>
        </w:rPr>
        <w:t xml:space="preserve">; </w:t>
      </w:r>
    </w:p>
    <w:p w:rsidR="00D94404" w:rsidRDefault="00D94404" w:rsidP="00D94404">
      <w:pPr>
        <w:jc w:val="both"/>
      </w:pPr>
      <w:r w:rsidRPr="00D94404">
        <w:rPr>
          <w:b/>
        </w:rPr>
        <w:t xml:space="preserve">Pasūtījuma izpildināšana: </w:t>
      </w:r>
      <w:r w:rsidR="00BA025F">
        <w:rPr>
          <w:rFonts w:eastAsia="Times New Roman"/>
          <w:bCs/>
          <w:lang w:eastAsia="en-US"/>
        </w:rPr>
        <w:t>2021.g</w:t>
      </w:r>
      <w:r w:rsidR="001C7383">
        <w:rPr>
          <w:rFonts w:eastAsia="Times New Roman"/>
          <w:bCs/>
          <w:lang w:eastAsia="en-US"/>
        </w:rPr>
        <w:t xml:space="preserve">ada 30.decembrī </w:t>
      </w:r>
    </w:p>
    <w:p w:rsidR="00D94404" w:rsidRDefault="00D94404" w:rsidP="00D94404">
      <w:pPr>
        <w:jc w:val="both"/>
      </w:pPr>
    </w:p>
    <w:p w:rsidR="00D94404" w:rsidRDefault="00D94404" w:rsidP="00D7525A">
      <w:pPr>
        <w:pStyle w:val="a6"/>
        <w:jc w:val="center"/>
      </w:pPr>
    </w:p>
    <w:tbl>
      <w:tblPr>
        <w:tblStyle w:val="a5"/>
        <w:tblW w:w="9634" w:type="dxa"/>
        <w:tblLook w:val="04A0" w:firstRow="1" w:lastRow="0" w:firstColumn="1" w:lastColumn="0" w:noHBand="0" w:noVBand="1"/>
      </w:tblPr>
      <w:tblGrid>
        <w:gridCol w:w="943"/>
        <w:gridCol w:w="2738"/>
        <w:gridCol w:w="4111"/>
        <w:gridCol w:w="1842"/>
      </w:tblGrid>
      <w:tr w:rsidR="00D7525A" w:rsidTr="00D7525A">
        <w:tc>
          <w:tcPr>
            <w:tcW w:w="943" w:type="dxa"/>
          </w:tcPr>
          <w:p w:rsidR="00D7525A" w:rsidRPr="00CE7F4E" w:rsidRDefault="00D7525A" w:rsidP="00721330">
            <w:pPr>
              <w:jc w:val="both"/>
              <w:rPr>
                <w:b/>
              </w:rPr>
            </w:pPr>
            <w:r>
              <w:rPr>
                <w:b/>
              </w:rPr>
              <w:t>N</w:t>
            </w:r>
            <w:r w:rsidR="00775E52">
              <w:rPr>
                <w:b/>
              </w:rPr>
              <w:t>r</w:t>
            </w:r>
            <w:r>
              <w:rPr>
                <w:b/>
              </w:rPr>
              <w:t>.p.k.</w:t>
            </w:r>
          </w:p>
        </w:tc>
        <w:tc>
          <w:tcPr>
            <w:tcW w:w="2738" w:type="dxa"/>
          </w:tcPr>
          <w:p w:rsidR="00D7525A" w:rsidRPr="00CE7F4E" w:rsidRDefault="00D7525A" w:rsidP="00721330">
            <w:pPr>
              <w:jc w:val="center"/>
              <w:rPr>
                <w:b/>
              </w:rPr>
            </w:pPr>
            <w:r>
              <w:rPr>
                <w:b/>
              </w:rPr>
              <w:t>Pakalpojuma</w:t>
            </w:r>
            <w:r w:rsidRPr="00CE7F4E">
              <w:rPr>
                <w:b/>
              </w:rPr>
              <w:t xml:space="preserve"> nosaukums</w:t>
            </w:r>
          </w:p>
        </w:tc>
        <w:tc>
          <w:tcPr>
            <w:tcW w:w="4111" w:type="dxa"/>
          </w:tcPr>
          <w:p w:rsidR="00D7525A" w:rsidRPr="00CE7F4E" w:rsidRDefault="00D7525A" w:rsidP="00721330">
            <w:pPr>
              <w:jc w:val="center"/>
              <w:rPr>
                <w:b/>
              </w:rPr>
            </w:pPr>
            <w:r w:rsidRPr="00CE7F4E">
              <w:rPr>
                <w:b/>
              </w:rPr>
              <w:t>Apraksts</w:t>
            </w:r>
          </w:p>
        </w:tc>
        <w:tc>
          <w:tcPr>
            <w:tcW w:w="1842" w:type="dxa"/>
          </w:tcPr>
          <w:p w:rsidR="00D7525A" w:rsidRPr="00CE7F4E" w:rsidRDefault="00D7525A" w:rsidP="00721330">
            <w:pPr>
              <w:jc w:val="center"/>
              <w:rPr>
                <w:b/>
              </w:rPr>
            </w:pPr>
            <w:r>
              <w:rPr>
                <w:b/>
              </w:rPr>
              <w:t xml:space="preserve">Mērvienība  </w:t>
            </w:r>
          </w:p>
        </w:tc>
      </w:tr>
      <w:tr w:rsidR="00D7525A" w:rsidTr="00D7525A">
        <w:tc>
          <w:tcPr>
            <w:tcW w:w="943" w:type="dxa"/>
          </w:tcPr>
          <w:p w:rsidR="00D7525A" w:rsidRPr="00CE7F4E" w:rsidRDefault="00D7525A" w:rsidP="00721330">
            <w:pPr>
              <w:rPr>
                <w:b/>
              </w:rPr>
            </w:pPr>
            <w:r w:rsidRPr="00CE7F4E">
              <w:rPr>
                <w:b/>
              </w:rPr>
              <w:t>1.</w:t>
            </w:r>
          </w:p>
        </w:tc>
        <w:tc>
          <w:tcPr>
            <w:tcW w:w="2738" w:type="dxa"/>
          </w:tcPr>
          <w:p w:rsidR="00D7525A" w:rsidRPr="00CE7F4E" w:rsidRDefault="00D7525A" w:rsidP="001C7383">
            <w:pPr>
              <w:jc w:val="both"/>
              <w:rPr>
                <w:b/>
              </w:rPr>
            </w:pPr>
            <w:r>
              <w:rPr>
                <w:b/>
              </w:rPr>
              <w:t>Sacensību tiesāšana</w:t>
            </w:r>
            <w:r w:rsidR="001C7383">
              <w:rPr>
                <w:b/>
              </w:rPr>
              <w:t xml:space="preserve"> </w:t>
            </w:r>
          </w:p>
        </w:tc>
        <w:tc>
          <w:tcPr>
            <w:tcW w:w="4111" w:type="dxa"/>
          </w:tcPr>
          <w:p w:rsidR="00D7525A" w:rsidRDefault="001C7383" w:rsidP="001C7383">
            <w:pPr>
              <w:jc w:val="both"/>
            </w:pPr>
            <w:r>
              <w:t>Sacensības</w:t>
            </w:r>
            <w:r w:rsidR="00D7525A">
              <w:t xml:space="preserve"> apkalpo LBS vai LJBL licencēti tiesneši – divi laukuma tiesneši, divi tehniskie protokolisti. </w:t>
            </w:r>
            <w:r>
              <w:t>Sacensību</w:t>
            </w:r>
            <w:r w:rsidR="00D7525A">
              <w:t xml:space="preserve"> apkalpojošajiem laukuma tiesnešiem obligāti jātiesā tiesnešu formas – sporta apavi (melni) un LBJL oficiālais tiesnešu krekls.</w:t>
            </w:r>
          </w:p>
        </w:tc>
        <w:tc>
          <w:tcPr>
            <w:tcW w:w="1842" w:type="dxa"/>
            <w:vAlign w:val="center"/>
          </w:tcPr>
          <w:p w:rsidR="00D7525A" w:rsidRDefault="001C7383" w:rsidP="00CD6463">
            <w:pPr>
              <w:jc w:val="center"/>
            </w:pPr>
            <w:r>
              <w:t xml:space="preserve">16 spēles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204791">
        <w:t>izglītības metodiķe ______</w:t>
      </w:r>
      <w:r w:rsidR="00507B3B">
        <w:t>_</w:t>
      </w:r>
      <w:r w:rsidR="00575736">
        <w:t xml:space="preserve">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204791" w:rsidRDefault="00204791" w:rsidP="00D94404">
      <w:pPr>
        <w:rPr>
          <w:noProof/>
        </w:rPr>
      </w:pPr>
    </w:p>
    <w:p w:rsidR="00204791" w:rsidRDefault="00204791" w:rsidP="00D94404">
      <w:pPr>
        <w:rPr>
          <w:noProof/>
        </w:rPr>
      </w:pPr>
    </w:p>
    <w:p w:rsidR="002E657E" w:rsidRDefault="002E657E" w:rsidP="00D94404">
      <w:pPr>
        <w:rPr>
          <w:noProof/>
        </w:rPr>
      </w:pPr>
    </w:p>
    <w:p w:rsidR="00575736" w:rsidRDefault="00575736"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2B53ED" w:rsidP="00763752">
      <w:pPr>
        <w:suppressAutoHyphens/>
        <w:rPr>
          <w:rFonts w:eastAsia="Times New Roman"/>
          <w:lang w:eastAsia="ar-SA"/>
        </w:rPr>
      </w:pPr>
      <w:r>
        <w:rPr>
          <w:rFonts w:eastAsia="Times New Roman"/>
          <w:lang w:eastAsia="ar-SA"/>
        </w:rPr>
        <w:t>2021</w:t>
      </w:r>
      <w:r w:rsidR="00626DC7">
        <w:rPr>
          <w:rFonts w:eastAsia="Times New Roman"/>
          <w:lang w:eastAsia="ar-SA"/>
        </w:rPr>
        <w:t xml:space="preserve">.gada </w:t>
      </w:r>
      <w:r w:rsidR="001C7383">
        <w:rPr>
          <w:rFonts w:eastAsia="Times New Roman"/>
          <w:lang w:eastAsia="ar-SA"/>
        </w:rPr>
        <w:t>__</w:t>
      </w:r>
      <w:r w:rsidR="00626DC7">
        <w:rPr>
          <w:rFonts w:eastAsia="Times New Roman"/>
          <w:lang w:eastAsia="ar-SA"/>
        </w:rPr>
        <w:t xml:space="preserve">. </w:t>
      </w:r>
      <w:r w:rsidR="001C7383">
        <w:rPr>
          <w:rFonts w:eastAsia="Times New Roman"/>
          <w:lang w:eastAsia="ar-SA"/>
        </w:rPr>
        <w:t xml:space="preserve">decembrī </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w:t>
      </w:r>
      <w:r w:rsidR="001C7383">
        <w:rPr>
          <w:rFonts w:eastAsia="Times New Roman"/>
          <w:b/>
          <w:bCs/>
          <w:lang w:eastAsia="en-US"/>
        </w:rPr>
        <w:t xml:space="preserve"> sacensību “Jaungads - 2022” spēles</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973"/>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626DC7"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626DC7"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626DC7" w:rsidRPr="00211B41" w:rsidRDefault="00626DC7" w:rsidP="00626DC7">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bl>
    <w:tbl>
      <w:tblPr>
        <w:tblStyle w:val="a5"/>
        <w:tblW w:w="10632" w:type="dxa"/>
        <w:tblInd w:w="-572" w:type="dxa"/>
        <w:tblLayout w:type="fixed"/>
        <w:tblLook w:val="04A0" w:firstRow="1" w:lastRow="0" w:firstColumn="1" w:lastColumn="0" w:noHBand="0" w:noVBand="1"/>
      </w:tblPr>
      <w:tblGrid>
        <w:gridCol w:w="709"/>
        <w:gridCol w:w="3260"/>
        <w:gridCol w:w="4111"/>
        <w:gridCol w:w="1418"/>
        <w:gridCol w:w="1134"/>
      </w:tblGrid>
      <w:tr w:rsidR="00A91562" w:rsidTr="00626DC7">
        <w:tc>
          <w:tcPr>
            <w:tcW w:w="709" w:type="dxa"/>
          </w:tcPr>
          <w:p w:rsidR="00A91562" w:rsidRDefault="00C46920" w:rsidP="00A91562">
            <w:pPr>
              <w:jc w:val="both"/>
              <w:rPr>
                <w:b/>
              </w:rPr>
            </w:pPr>
            <w:r>
              <w:rPr>
                <w:b/>
              </w:rPr>
              <w:t>N</w:t>
            </w:r>
            <w:r w:rsidR="00775E52">
              <w:rPr>
                <w:b/>
              </w:rPr>
              <w:t>r</w:t>
            </w:r>
            <w:r>
              <w:rPr>
                <w:b/>
              </w:rPr>
              <w:t>.</w:t>
            </w:r>
          </w:p>
          <w:p w:rsidR="00C46920" w:rsidRPr="00CE7F4E" w:rsidRDefault="00A91562" w:rsidP="00A91562">
            <w:pPr>
              <w:jc w:val="both"/>
              <w:rPr>
                <w:b/>
              </w:rPr>
            </w:pPr>
            <w:r>
              <w:rPr>
                <w:b/>
              </w:rPr>
              <w:t>p</w:t>
            </w:r>
            <w:r w:rsidR="00C46920">
              <w:rPr>
                <w:b/>
              </w:rPr>
              <w:t>.k.</w:t>
            </w:r>
          </w:p>
        </w:tc>
        <w:tc>
          <w:tcPr>
            <w:tcW w:w="3260" w:type="dxa"/>
          </w:tcPr>
          <w:p w:rsidR="00C46920" w:rsidRPr="00CE7F4E" w:rsidRDefault="00C46920" w:rsidP="00721330">
            <w:pPr>
              <w:jc w:val="center"/>
              <w:rPr>
                <w:b/>
              </w:rPr>
            </w:pPr>
            <w:r>
              <w:rPr>
                <w:b/>
              </w:rPr>
              <w:t>Pakalpojuma</w:t>
            </w:r>
            <w:r w:rsidRPr="00CE7F4E">
              <w:rPr>
                <w:b/>
              </w:rPr>
              <w:t xml:space="preserve"> nosaukums</w:t>
            </w:r>
          </w:p>
        </w:tc>
        <w:tc>
          <w:tcPr>
            <w:tcW w:w="4111" w:type="dxa"/>
          </w:tcPr>
          <w:p w:rsidR="00C46920" w:rsidRPr="00CE7F4E" w:rsidRDefault="00C46920" w:rsidP="00721330">
            <w:pPr>
              <w:jc w:val="center"/>
              <w:rPr>
                <w:b/>
              </w:rPr>
            </w:pPr>
            <w:r w:rsidRPr="00CE7F4E">
              <w:rPr>
                <w:b/>
              </w:rPr>
              <w:t>Apraksts</w:t>
            </w:r>
          </w:p>
        </w:tc>
        <w:tc>
          <w:tcPr>
            <w:tcW w:w="1418" w:type="dxa"/>
          </w:tcPr>
          <w:p w:rsidR="00C46920" w:rsidRPr="00CE7F4E" w:rsidRDefault="006E4D5A" w:rsidP="00721330">
            <w:pPr>
              <w:jc w:val="center"/>
              <w:rPr>
                <w:b/>
              </w:rPr>
            </w:pPr>
            <w:r>
              <w:rPr>
                <w:b/>
              </w:rPr>
              <w:t>Mērvienība</w:t>
            </w:r>
          </w:p>
        </w:tc>
        <w:tc>
          <w:tcPr>
            <w:tcW w:w="1134" w:type="dxa"/>
          </w:tcPr>
          <w:p w:rsidR="00C46920" w:rsidRDefault="00C46920" w:rsidP="00AE4A8B">
            <w:pPr>
              <w:jc w:val="center"/>
              <w:rPr>
                <w:b/>
              </w:rPr>
            </w:pPr>
            <w:r>
              <w:rPr>
                <w:b/>
              </w:rPr>
              <w:t xml:space="preserve">Cena </w:t>
            </w:r>
          </w:p>
        </w:tc>
      </w:tr>
      <w:tr w:rsidR="006E4D5A" w:rsidTr="00626DC7">
        <w:tc>
          <w:tcPr>
            <w:tcW w:w="709" w:type="dxa"/>
          </w:tcPr>
          <w:p w:rsidR="006E4D5A" w:rsidRPr="00CE7F4E" w:rsidRDefault="006E4D5A" w:rsidP="00721330">
            <w:pPr>
              <w:rPr>
                <w:b/>
              </w:rPr>
            </w:pPr>
            <w:r w:rsidRPr="00CE7F4E">
              <w:rPr>
                <w:b/>
              </w:rPr>
              <w:t>1.</w:t>
            </w:r>
          </w:p>
        </w:tc>
        <w:tc>
          <w:tcPr>
            <w:tcW w:w="3260" w:type="dxa"/>
          </w:tcPr>
          <w:p w:rsidR="006E4D5A" w:rsidRPr="00CE7F4E" w:rsidRDefault="006E4D5A" w:rsidP="00721330">
            <w:pPr>
              <w:jc w:val="both"/>
              <w:rPr>
                <w:b/>
              </w:rPr>
            </w:pPr>
            <w:r>
              <w:rPr>
                <w:b/>
              </w:rPr>
              <w:t>Sacensību tiesāšana</w:t>
            </w:r>
          </w:p>
        </w:tc>
        <w:tc>
          <w:tcPr>
            <w:tcW w:w="4111" w:type="dxa"/>
          </w:tcPr>
          <w:p w:rsidR="006E4D5A" w:rsidRDefault="001C7383" w:rsidP="00721330">
            <w:pPr>
              <w:jc w:val="both"/>
            </w:pPr>
            <w:r>
              <w:t>Sacensības apkalpo LBS vai LJBL licencēti tiesneši – divi laukuma tiesneši, divi tehniskie protokolisti. Sacensību apkalpojošajiem laukuma tiesnešiem obligāti jātiesā tiesnešu formas – sporta apavi (melni) un LBJL oficiālais tiesnešu krekls.</w:t>
            </w:r>
            <w:r>
              <w:t xml:space="preserve"> </w:t>
            </w:r>
          </w:p>
        </w:tc>
        <w:tc>
          <w:tcPr>
            <w:tcW w:w="1418" w:type="dxa"/>
          </w:tcPr>
          <w:p w:rsidR="006E4D5A" w:rsidRDefault="001C7383" w:rsidP="00721330">
            <w:pPr>
              <w:jc w:val="both"/>
            </w:pPr>
            <w:r>
              <w:t xml:space="preserve">16 spēles </w:t>
            </w:r>
          </w:p>
        </w:tc>
        <w:tc>
          <w:tcPr>
            <w:tcW w:w="1134" w:type="dxa"/>
          </w:tcPr>
          <w:p w:rsidR="006E4D5A" w:rsidRDefault="006E4D5A" w:rsidP="00721330">
            <w:pPr>
              <w:jc w:val="both"/>
            </w:pPr>
          </w:p>
        </w:tc>
      </w:tr>
      <w:tr w:rsidR="007A0D8E" w:rsidTr="00626DC7">
        <w:tc>
          <w:tcPr>
            <w:tcW w:w="709" w:type="dxa"/>
          </w:tcPr>
          <w:p w:rsidR="007A0D8E" w:rsidRDefault="007A0D8E" w:rsidP="00721330">
            <w:pPr>
              <w:jc w:val="both"/>
            </w:pPr>
          </w:p>
        </w:tc>
        <w:tc>
          <w:tcPr>
            <w:tcW w:w="3260" w:type="dxa"/>
          </w:tcPr>
          <w:p w:rsidR="007A0D8E" w:rsidRDefault="007A0D8E" w:rsidP="00721330">
            <w:pPr>
              <w:jc w:val="both"/>
            </w:pPr>
          </w:p>
        </w:tc>
        <w:tc>
          <w:tcPr>
            <w:tcW w:w="4111" w:type="dxa"/>
          </w:tcPr>
          <w:p w:rsidR="007A0D8E" w:rsidRPr="00AE4A8B" w:rsidRDefault="007A0D8E" w:rsidP="00A91562">
            <w:pPr>
              <w:jc w:val="both"/>
              <w:rPr>
                <w:b/>
              </w:rPr>
            </w:pPr>
            <w:r w:rsidRPr="00AE4A8B">
              <w:rPr>
                <w:b/>
              </w:rPr>
              <w:t>Kopā</w:t>
            </w:r>
            <w:r>
              <w:rPr>
                <w:b/>
              </w:rPr>
              <w:t>:</w:t>
            </w:r>
          </w:p>
        </w:tc>
        <w:tc>
          <w:tcPr>
            <w:tcW w:w="1418" w:type="dxa"/>
          </w:tcPr>
          <w:p w:rsidR="007A0D8E" w:rsidRDefault="007A0D8E" w:rsidP="00721330">
            <w:pPr>
              <w:jc w:val="center"/>
            </w:pPr>
          </w:p>
        </w:tc>
        <w:tc>
          <w:tcPr>
            <w:tcW w:w="1134" w:type="dxa"/>
          </w:tcPr>
          <w:p w:rsidR="007A0D8E" w:rsidRDefault="007A0D8E" w:rsidP="00721330">
            <w:pPr>
              <w:jc w:val="cente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AE4A8B" w:rsidRDefault="00AE4A8B" w:rsidP="00BB6F93">
      <w:pPr>
        <w:keepLines/>
        <w:widowControl w:val="0"/>
        <w:suppressAutoHyphens/>
        <w:jc w:val="both"/>
        <w:rPr>
          <w:rFonts w:eastAsia="Times New Roman"/>
          <w:lang w:eastAsia="ar-SA"/>
        </w:rPr>
      </w:pP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204791" w:rsidRDefault="00763752" w:rsidP="00204791">
      <w:pPr>
        <w:pStyle w:val="a3"/>
        <w:rPr>
          <w:b/>
          <w:bCs/>
          <w:color w:val="000000"/>
          <w:sz w:val="20"/>
          <w:szCs w:val="20"/>
        </w:rPr>
      </w:pPr>
    </w:p>
    <w:sectPr w:rsidR="00763752" w:rsidRPr="00204791" w:rsidSect="00204791">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63" w:rsidRDefault="00903163" w:rsidP="00B46840">
      <w:r>
        <w:separator/>
      </w:r>
    </w:p>
  </w:endnote>
  <w:endnote w:type="continuationSeparator" w:id="0">
    <w:p w:rsidR="00903163" w:rsidRDefault="0090316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63" w:rsidRDefault="00903163" w:rsidP="00B46840">
      <w:r>
        <w:separator/>
      </w:r>
    </w:p>
  </w:footnote>
  <w:footnote w:type="continuationSeparator" w:id="0">
    <w:p w:rsidR="00903163" w:rsidRDefault="0090316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2"/>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F5930"/>
    <w:rsid w:val="00112826"/>
    <w:rsid w:val="001143E1"/>
    <w:rsid w:val="001347EA"/>
    <w:rsid w:val="00137086"/>
    <w:rsid w:val="00166BFD"/>
    <w:rsid w:val="001878AC"/>
    <w:rsid w:val="001C7383"/>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07B3B"/>
    <w:rsid w:val="00540E72"/>
    <w:rsid w:val="00575736"/>
    <w:rsid w:val="005B4115"/>
    <w:rsid w:val="005C3F1D"/>
    <w:rsid w:val="005D794B"/>
    <w:rsid w:val="005E0E5E"/>
    <w:rsid w:val="00623D53"/>
    <w:rsid w:val="00625BCD"/>
    <w:rsid w:val="00626DC7"/>
    <w:rsid w:val="00636F05"/>
    <w:rsid w:val="0064383C"/>
    <w:rsid w:val="00655A23"/>
    <w:rsid w:val="006A5D55"/>
    <w:rsid w:val="006C5149"/>
    <w:rsid w:val="006E4D5A"/>
    <w:rsid w:val="006E7F2B"/>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F6B8F"/>
    <w:rsid w:val="00833B3D"/>
    <w:rsid w:val="0084024C"/>
    <w:rsid w:val="00863F8C"/>
    <w:rsid w:val="008671B6"/>
    <w:rsid w:val="00892A15"/>
    <w:rsid w:val="008A3173"/>
    <w:rsid w:val="008B4EBE"/>
    <w:rsid w:val="008B7743"/>
    <w:rsid w:val="008C6DC8"/>
    <w:rsid w:val="008E4FCD"/>
    <w:rsid w:val="008E7C41"/>
    <w:rsid w:val="00903163"/>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3022C"/>
    <w:rsid w:val="00B35CEE"/>
    <w:rsid w:val="00B46840"/>
    <w:rsid w:val="00B5550B"/>
    <w:rsid w:val="00B86D8D"/>
    <w:rsid w:val="00BA025F"/>
    <w:rsid w:val="00BA2C6E"/>
    <w:rsid w:val="00BB6F93"/>
    <w:rsid w:val="00BC0AC5"/>
    <w:rsid w:val="00BD2B8B"/>
    <w:rsid w:val="00BD3D02"/>
    <w:rsid w:val="00BF3F92"/>
    <w:rsid w:val="00BF670B"/>
    <w:rsid w:val="00C2477C"/>
    <w:rsid w:val="00C263B4"/>
    <w:rsid w:val="00C46920"/>
    <w:rsid w:val="00C62424"/>
    <w:rsid w:val="00C6597A"/>
    <w:rsid w:val="00CC1525"/>
    <w:rsid w:val="00CD6463"/>
    <w:rsid w:val="00CD64D2"/>
    <w:rsid w:val="00CE2CF3"/>
    <w:rsid w:val="00CF1BEC"/>
    <w:rsid w:val="00D23CDB"/>
    <w:rsid w:val="00D33981"/>
    <w:rsid w:val="00D6550A"/>
    <w:rsid w:val="00D662FF"/>
    <w:rsid w:val="00D73993"/>
    <w:rsid w:val="00D7525A"/>
    <w:rsid w:val="00D94404"/>
    <w:rsid w:val="00DA31D6"/>
    <w:rsid w:val="00DA62F4"/>
    <w:rsid w:val="00DD2C92"/>
    <w:rsid w:val="00DE7222"/>
    <w:rsid w:val="00E020F2"/>
    <w:rsid w:val="00E63C50"/>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395A-9B2C-4B52-A486-77DC3E09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611</Words>
  <Characters>3489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cp:revision>
  <cp:lastPrinted>2021-09-21T07:32:00Z</cp:lastPrinted>
  <dcterms:created xsi:type="dcterms:W3CDTF">2020-09-08T11:10:00Z</dcterms:created>
  <dcterms:modified xsi:type="dcterms:W3CDTF">2021-12-27T13:10:00Z</dcterms:modified>
</cp:coreProperties>
</file>