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2C6C7D10"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9722CF">
        <w:rPr>
          <w:rFonts w:ascii="Times New Roman" w:hAnsi="Times New Roman"/>
          <w:sz w:val="24"/>
          <w:szCs w:val="24"/>
          <w:lang w:val="lv-LV"/>
        </w:rPr>
        <w:t>7.jūnijā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6CC356ED"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9722CF">
        <w:rPr>
          <w:rFonts w:ascii="Times New Roman" w:hAnsi="Times New Roman"/>
          <w:b/>
          <w:bCs/>
          <w:sz w:val="24"/>
          <w:szCs w:val="24"/>
          <w:u w:val="single"/>
          <w:lang w:val="lv-LV"/>
        </w:rPr>
        <w:t>17.jūnija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73F20462"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 xml:space="preserve">iepriekš sazinoties pa tālr. </w:t>
      </w:r>
      <w:r w:rsidR="009722CF">
        <w:rPr>
          <w:rFonts w:ascii="Times New Roman" w:hAnsi="Times New Roman"/>
          <w:sz w:val="24"/>
          <w:szCs w:val="24"/>
        </w:rPr>
        <w:t>22332112</w:t>
      </w:r>
      <w:r>
        <w:rPr>
          <w:rFonts w:ascii="Times New Roman" w:hAnsi="Times New Roman"/>
          <w:sz w:val="24"/>
          <w:szCs w:val="24"/>
        </w:rPr>
        <w:t>.</w:t>
      </w:r>
    </w:p>
    <w:p w14:paraId="251A78DE" w14:textId="7338EA4F"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 xml:space="preserve">melnais metāls </w:t>
      </w:r>
      <w:r w:rsidR="0082109F">
        <w:rPr>
          <w:rFonts w:ascii="Times New Roman" w:hAnsi="Times New Roman"/>
          <w:b/>
          <w:bCs/>
          <w:sz w:val="24"/>
          <w:szCs w:val="24"/>
          <w:lang w:val="lv-LV"/>
        </w:rPr>
        <w:t xml:space="preserve">(aptuveni </w:t>
      </w:r>
      <w:r w:rsidR="009722CF">
        <w:rPr>
          <w:rFonts w:ascii="Times New Roman" w:hAnsi="Times New Roman"/>
          <w:b/>
          <w:bCs/>
          <w:sz w:val="24"/>
          <w:szCs w:val="24"/>
          <w:lang w:val="lv-LV"/>
        </w:rPr>
        <w:t>30</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40C84BCB"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0436" w14:textId="77777777" w:rsidR="003A70A4" w:rsidRDefault="003A70A4">
      <w:pPr>
        <w:spacing w:after="0"/>
      </w:pPr>
      <w:r>
        <w:separator/>
      </w:r>
    </w:p>
  </w:endnote>
  <w:endnote w:type="continuationSeparator" w:id="0">
    <w:p w14:paraId="2262BFBA" w14:textId="77777777" w:rsidR="003A70A4" w:rsidRDefault="003A7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AC86" w14:textId="77777777" w:rsidR="003A70A4" w:rsidRDefault="003A70A4">
      <w:pPr>
        <w:spacing w:after="0"/>
      </w:pPr>
      <w:r>
        <w:rPr>
          <w:color w:val="000000"/>
        </w:rPr>
        <w:separator/>
      </w:r>
    </w:p>
  </w:footnote>
  <w:footnote w:type="continuationSeparator" w:id="0">
    <w:p w14:paraId="3E790BF7" w14:textId="77777777" w:rsidR="003A70A4" w:rsidRDefault="003A70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74872"/>
    <w:rsid w:val="0024513C"/>
    <w:rsid w:val="002571FC"/>
    <w:rsid w:val="00375905"/>
    <w:rsid w:val="003A70A4"/>
    <w:rsid w:val="00607276"/>
    <w:rsid w:val="00672834"/>
    <w:rsid w:val="00677415"/>
    <w:rsid w:val="006837D1"/>
    <w:rsid w:val="007C5839"/>
    <w:rsid w:val="0082109F"/>
    <w:rsid w:val="00894DA5"/>
    <w:rsid w:val="009722CF"/>
    <w:rsid w:val="00972864"/>
    <w:rsid w:val="00A10934"/>
    <w:rsid w:val="00A4406B"/>
    <w:rsid w:val="00BD5CF1"/>
    <w:rsid w:val="00BF5C9C"/>
    <w:rsid w:val="00CC13E9"/>
    <w:rsid w:val="00DA01C6"/>
    <w:rsid w:val="00DC2BF3"/>
    <w:rsid w:val="00E614A0"/>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10</cp:revision>
  <cp:lastPrinted>2019-10-04T06:22:00Z</cp:lastPrinted>
  <dcterms:created xsi:type="dcterms:W3CDTF">2021-01-28T08:01:00Z</dcterms:created>
  <dcterms:modified xsi:type="dcterms:W3CDTF">2021-06-07T10:10:00Z</dcterms:modified>
</cp:coreProperties>
</file>