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3C2E" w14:textId="26F39B04" w:rsidR="00732EF5" w:rsidRDefault="00732EF5" w:rsidP="00732EF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4F6C01">
        <w:rPr>
          <w:rFonts w:eastAsia="Times New Roman"/>
          <w:lang w:eastAsia="ar-SA"/>
        </w:rPr>
        <w:t xml:space="preserve">a </w:t>
      </w:r>
      <w:proofErr w:type="spellStart"/>
      <w:r w:rsidR="004F6C01">
        <w:rPr>
          <w:rFonts w:eastAsia="Times New Roman"/>
          <w:lang w:eastAsia="ar-SA"/>
        </w:rPr>
        <w:t>p.i</w:t>
      </w:r>
      <w:proofErr w:type="spellEnd"/>
      <w:r w:rsidR="004F6C01">
        <w:rPr>
          <w:rFonts w:eastAsia="Times New Roman"/>
          <w:lang w:eastAsia="ar-SA"/>
        </w:rPr>
        <w:t>.</w:t>
      </w:r>
    </w:p>
    <w:p w14:paraId="1A2A623E" w14:textId="77777777" w:rsidR="00732EF5" w:rsidRDefault="00732EF5" w:rsidP="00732EF5">
      <w:pPr>
        <w:suppressAutoHyphens/>
        <w:jc w:val="right"/>
        <w:rPr>
          <w:rFonts w:eastAsia="Times New Roman"/>
          <w:lang w:eastAsia="ar-SA"/>
        </w:rPr>
      </w:pPr>
    </w:p>
    <w:p w14:paraId="67079A78" w14:textId="59BFB327" w:rsidR="00732EF5" w:rsidRPr="00CF1BEC" w:rsidRDefault="00732EF5" w:rsidP="00732EF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4F6C01">
        <w:rPr>
          <w:rFonts w:eastAsia="Times New Roman"/>
          <w:lang w:eastAsia="ar-SA"/>
        </w:rPr>
        <w:t>Romanovskis</w:t>
      </w:r>
      <w:proofErr w:type="spellEnd"/>
    </w:p>
    <w:p w14:paraId="29BDE568" w14:textId="501FA2A7" w:rsidR="00732EF5" w:rsidRPr="006E2FCA" w:rsidRDefault="00732EF5" w:rsidP="00732EF5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4F6C01">
        <w:rPr>
          <w:rFonts w:eastAsia="Times New Roman"/>
          <w:bCs/>
          <w:lang w:eastAsia="ar-SA"/>
        </w:rPr>
        <w:t>30</w:t>
      </w:r>
      <w:r w:rsidRPr="006E2FCA">
        <w:rPr>
          <w:rFonts w:eastAsia="Times New Roman"/>
          <w:bCs/>
          <w:lang w:eastAsia="ar-SA"/>
        </w:rPr>
        <w:t>.</w:t>
      </w:r>
      <w:r w:rsidR="003F6C49">
        <w:rPr>
          <w:rFonts w:eastAsia="Times New Roman"/>
          <w:bCs/>
          <w:lang w:eastAsia="ar-SA"/>
        </w:rPr>
        <w:t>jūni</w:t>
      </w:r>
      <w:r>
        <w:rPr>
          <w:rFonts w:eastAsia="Times New Roman"/>
          <w:bCs/>
          <w:lang w:eastAsia="ar-SA"/>
        </w:rPr>
        <w:t>jā</w:t>
      </w:r>
    </w:p>
    <w:p w14:paraId="75168B43" w14:textId="3A30CC47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3F6C49">
        <w:rPr>
          <w:rFonts w:eastAsia="Times New Roman"/>
          <w:bCs/>
          <w:lang w:eastAsia="ar-SA"/>
        </w:rPr>
        <w:t>1</w:t>
      </w:r>
      <w:r w:rsidR="004F6C01">
        <w:rPr>
          <w:rFonts w:eastAsia="Times New Roman"/>
          <w:bCs/>
          <w:lang w:eastAsia="ar-SA"/>
        </w:rPr>
        <w:t>1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307C54A5" w14:textId="25629AB0" w:rsidR="00E42065" w:rsidRDefault="003F6C49" w:rsidP="003F6C49">
      <w:pPr>
        <w:pStyle w:val="Title"/>
        <w:rPr>
          <w:b/>
        </w:rPr>
      </w:pPr>
      <w:r w:rsidRPr="005E2AD9">
        <w:rPr>
          <w:b/>
          <w:color w:val="auto"/>
          <w:sz w:val="24"/>
        </w:rPr>
        <w:t xml:space="preserve">Speciālo </w:t>
      </w:r>
      <w:proofErr w:type="spellStart"/>
      <w:r w:rsidR="004F6C01" w:rsidRPr="004F6C01">
        <w:rPr>
          <w:b/>
          <w:color w:val="auto"/>
          <w:sz w:val="24"/>
        </w:rPr>
        <w:t>svarcelšanas</w:t>
      </w:r>
      <w:proofErr w:type="spellEnd"/>
      <w:r w:rsidR="004F6C01" w:rsidRPr="004F6C01">
        <w:rPr>
          <w:b/>
          <w:color w:val="auto"/>
          <w:sz w:val="24"/>
        </w:rPr>
        <w:t xml:space="preserve"> apavu</w:t>
      </w:r>
      <w:r w:rsidRPr="004F6C01">
        <w:rPr>
          <w:b/>
          <w:color w:val="auto"/>
          <w:sz w:val="24"/>
        </w:rPr>
        <w:t xml:space="preserve"> </w:t>
      </w:r>
      <w:r w:rsidRPr="005E2AD9">
        <w:rPr>
          <w:b/>
          <w:color w:val="auto"/>
          <w:sz w:val="24"/>
        </w:rPr>
        <w:t>iegāde Daugavpils I</w:t>
      </w:r>
      <w:r>
        <w:rPr>
          <w:b/>
          <w:color w:val="auto"/>
          <w:sz w:val="24"/>
        </w:rPr>
        <w:t>SVS</w:t>
      </w:r>
      <w:r w:rsidRPr="005E2AD9">
        <w:rPr>
          <w:b/>
          <w:color w:val="auto"/>
          <w:sz w:val="24"/>
        </w:rPr>
        <w:t xml:space="preserve"> vajadzībām</w:t>
      </w: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18A9" w14:textId="6547E7F6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4F6C01">
              <w:rPr>
                <w:rFonts w:eastAsia="Times New Roman"/>
                <w:lang w:eastAsia="en-US"/>
              </w:rPr>
              <w:t xml:space="preserve">a </w:t>
            </w:r>
            <w:proofErr w:type="spellStart"/>
            <w:r w:rsidR="004F6C01">
              <w:rPr>
                <w:rFonts w:eastAsia="Times New Roman"/>
                <w:lang w:eastAsia="en-US"/>
              </w:rPr>
              <w:t>p.i</w:t>
            </w:r>
            <w:proofErr w:type="spellEnd"/>
            <w:r w:rsidR="004F6C01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4F6C01">
              <w:rPr>
                <w:rFonts w:eastAsia="Times New Roman"/>
                <w:lang w:eastAsia="en-US"/>
              </w:rPr>
              <w:t xml:space="preserve">Aivis </w:t>
            </w:r>
            <w:proofErr w:type="spellStart"/>
            <w:r w:rsidR="004F6C01"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 xml:space="preserve">, tālr. </w:t>
            </w:r>
            <w:r w:rsidR="004F6C01">
              <w:rPr>
                <w:rFonts w:eastAsia="Times New Roman"/>
                <w:lang w:eastAsia="en-US"/>
              </w:rPr>
              <w:t>27104208</w:t>
            </w:r>
            <w:r>
              <w:rPr>
                <w:rFonts w:eastAsia="Times New Roman"/>
                <w:lang w:eastAsia="en-US"/>
              </w:rPr>
              <w:t>, mob.2</w:t>
            </w:r>
            <w:r w:rsidR="004F6C01">
              <w:rPr>
                <w:rFonts w:eastAsia="Times New Roman"/>
                <w:lang w:eastAsia="en-US"/>
              </w:rPr>
              <w:t>9869342</w:t>
            </w:r>
          </w:p>
          <w:p w14:paraId="2190F3FF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B7" w14:textId="29B52623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4F6C01">
              <w:rPr>
                <w:rFonts w:eastAsia="Times New Roman"/>
                <w:lang w:eastAsia="en-US"/>
              </w:rPr>
              <w:t xml:space="preserve">Igors </w:t>
            </w:r>
            <w:proofErr w:type="spellStart"/>
            <w:r w:rsidR="004F6C01">
              <w:rPr>
                <w:rFonts w:eastAsia="Times New Roman"/>
                <w:lang w:eastAsia="en-US"/>
              </w:rPr>
              <w:t>Očkurovs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4F6C01">
              <w:rPr>
                <w:rFonts w:eastAsia="Times New Roman"/>
                <w:lang w:eastAsia="en-US"/>
              </w:rPr>
              <w:t>9753166</w:t>
            </w:r>
          </w:p>
          <w:p w14:paraId="53205460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39B2BA91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3F6C49" w:rsidRPr="003F6C49">
        <w:rPr>
          <w:bCs/>
        </w:rPr>
        <w:t xml:space="preserve">Speciālo </w:t>
      </w:r>
      <w:proofErr w:type="spellStart"/>
      <w:r w:rsidR="004F6C01" w:rsidRPr="004F6C01">
        <w:rPr>
          <w:bCs/>
        </w:rPr>
        <w:t>svarcelšanas</w:t>
      </w:r>
      <w:proofErr w:type="spellEnd"/>
      <w:r w:rsidR="004F6C01" w:rsidRPr="004F6C01">
        <w:rPr>
          <w:bCs/>
        </w:rPr>
        <w:t xml:space="preserve"> apavu</w:t>
      </w:r>
      <w:r w:rsidR="004F6C01" w:rsidRPr="00C50365">
        <w:rPr>
          <w:b/>
          <w:color w:val="FF0000"/>
        </w:rPr>
        <w:t xml:space="preserve"> </w:t>
      </w:r>
      <w:r w:rsidR="003F6C49" w:rsidRPr="003F6C49">
        <w:rPr>
          <w:bCs/>
        </w:rPr>
        <w:t>iegāde Daugavpils ISVS vajadzībām</w:t>
      </w:r>
      <w:r>
        <w:t>;</w:t>
      </w:r>
    </w:p>
    <w:p w14:paraId="00EE6556" w14:textId="60A8AE05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4F6C01">
        <w:rPr>
          <w:rFonts w:eastAsia="Times New Roman"/>
          <w:bCs/>
          <w:lang w:eastAsia="en-US"/>
        </w:rPr>
        <w:t>800</w:t>
      </w:r>
      <w:r w:rsidR="00850EC5" w:rsidRPr="000646C0">
        <w:rPr>
          <w:rFonts w:eastAsia="Times New Roman"/>
          <w:bCs/>
          <w:lang w:eastAsia="en-US"/>
        </w:rPr>
        <w:t>,00</w:t>
      </w:r>
      <w:r w:rsidR="000646C0">
        <w:rPr>
          <w:rFonts w:eastAsia="Times New Roman"/>
          <w:bCs/>
          <w:lang w:eastAsia="en-US"/>
        </w:rPr>
        <w:t xml:space="preserve"> </w:t>
      </w:r>
    </w:p>
    <w:p w14:paraId="54B23CA1" w14:textId="1268B51D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3F6C49">
        <w:rPr>
          <w:rFonts w:eastAsia="Times New Roman"/>
          <w:bCs/>
          <w:lang w:eastAsia="en-US"/>
        </w:rPr>
        <w:t>1</w:t>
      </w:r>
      <w:r w:rsidR="006712F3">
        <w:rPr>
          <w:rFonts w:eastAsia="Times New Roman"/>
          <w:bCs/>
          <w:lang w:eastAsia="en-US"/>
        </w:rPr>
        <w:t>5</w:t>
      </w:r>
      <w:r w:rsidR="003F6C49">
        <w:rPr>
          <w:rFonts w:eastAsia="Times New Roman"/>
          <w:bCs/>
          <w:lang w:eastAsia="en-US"/>
        </w:rPr>
        <w:t>.</w:t>
      </w:r>
      <w:r w:rsidR="006712F3">
        <w:rPr>
          <w:rFonts w:eastAsia="Times New Roman"/>
          <w:bCs/>
          <w:lang w:eastAsia="en-US"/>
        </w:rPr>
        <w:t>august</w:t>
      </w:r>
      <w:r w:rsidR="003F6C49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65EEDF71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4F6C01">
        <w:rPr>
          <w:rFonts w:eastAsia="Times New Roman"/>
          <w:b/>
          <w:bCs/>
          <w:lang w:eastAsia="en-US"/>
        </w:rPr>
        <w:t>2</w:t>
      </w:r>
      <w:r w:rsidR="001365AA">
        <w:rPr>
          <w:rFonts w:eastAsia="Times New Roman"/>
          <w:b/>
          <w:bCs/>
          <w:lang w:eastAsia="en-US"/>
        </w:rPr>
        <w:t>.</w:t>
      </w:r>
      <w:r w:rsidR="003F6C49">
        <w:rPr>
          <w:rFonts w:eastAsia="Times New Roman"/>
          <w:b/>
          <w:bCs/>
          <w:lang w:eastAsia="en-US"/>
        </w:rPr>
        <w:t>jū</w:t>
      </w:r>
      <w:r w:rsidR="004F6C01">
        <w:rPr>
          <w:rFonts w:eastAsia="Times New Roman"/>
          <w:b/>
          <w:bCs/>
          <w:lang w:eastAsia="en-US"/>
        </w:rPr>
        <w:t>l</w:t>
      </w:r>
      <w:r w:rsidR="003F6C49">
        <w:rPr>
          <w:rFonts w:eastAsia="Times New Roman"/>
          <w:b/>
          <w:bCs/>
          <w:lang w:eastAsia="en-US"/>
        </w:rPr>
        <w:t>ija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plkst.1</w:t>
      </w:r>
      <w:r w:rsidR="004F6C01">
        <w:rPr>
          <w:rFonts w:eastAsia="Times New Roman"/>
          <w:b/>
          <w:bCs/>
          <w:lang w:eastAsia="en-US"/>
        </w:rPr>
        <w:t>0.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 xml:space="preserve"> 1</w:t>
      </w:r>
      <w:r w:rsidRPr="00B102D2">
        <w:rPr>
          <w:b/>
        </w:rPr>
        <w:t xml:space="preserve">.pielikums </w:t>
      </w:r>
    </w:p>
    <w:p w14:paraId="28F5D60C" w14:textId="77777777" w:rsidR="004F6C01" w:rsidRDefault="004F6C01" w:rsidP="00297CBA">
      <w:pPr>
        <w:tabs>
          <w:tab w:val="left" w:pos="0"/>
        </w:tabs>
        <w:jc w:val="right"/>
        <w:rPr>
          <w:b/>
        </w:rPr>
      </w:pPr>
      <w:r w:rsidRPr="005E2AD9">
        <w:rPr>
          <w:b/>
        </w:rPr>
        <w:t xml:space="preserve">Speciālo </w:t>
      </w:r>
      <w:proofErr w:type="spellStart"/>
      <w:r w:rsidRPr="004F6C01">
        <w:rPr>
          <w:b/>
        </w:rPr>
        <w:t>svarcelšanas</w:t>
      </w:r>
      <w:proofErr w:type="spellEnd"/>
      <w:r w:rsidRPr="004F6C01">
        <w:rPr>
          <w:b/>
        </w:rPr>
        <w:t xml:space="preserve"> apavu </w:t>
      </w:r>
      <w:r w:rsidRPr="005E2AD9">
        <w:rPr>
          <w:b/>
        </w:rPr>
        <w:t>iegāde</w:t>
      </w:r>
    </w:p>
    <w:p w14:paraId="0E92354C" w14:textId="1E89D67A" w:rsidR="003F6C49" w:rsidRDefault="003F6C49" w:rsidP="00297CBA">
      <w:pPr>
        <w:tabs>
          <w:tab w:val="left" w:pos="0"/>
        </w:tabs>
        <w:jc w:val="right"/>
        <w:rPr>
          <w:sz w:val="20"/>
          <w:szCs w:val="20"/>
        </w:rPr>
      </w:pPr>
      <w:r w:rsidRPr="005E2AD9">
        <w:rPr>
          <w:b/>
        </w:rPr>
        <w:t xml:space="preserve"> Daugavpils I</w:t>
      </w:r>
      <w:r>
        <w:rPr>
          <w:b/>
        </w:rPr>
        <w:t>SVS</w:t>
      </w:r>
      <w:r w:rsidRPr="005E2AD9">
        <w:rPr>
          <w:b/>
        </w:rPr>
        <w:t xml:space="preserve"> vajadzībām</w:t>
      </w:r>
      <w:r w:rsidRPr="00504778">
        <w:rPr>
          <w:sz w:val="20"/>
          <w:szCs w:val="20"/>
        </w:rPr>
        <w:t xml:space="preserve"> </w:t>
      </w:r>
    </w:p>
    <w:p w14:paraId="4FE28C3A" w14:textId="69D4FAD3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3F6C49">
        <w:rPr>
          <w:i/>
          <w:sz w:val="20"/>
          <w:szCs w:val="20"/>
        </w:rPr>
        <w:t>1</w:t>
      </w:r>
      <w:r w:rsidR="004F6C01">
        <w:rPr>
          <w:i/>
          <w:sz w:val="20"/>
          <w:szCs w:val="20"/>
        </w:rPr>
        <w:t>1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0257FA90" w14:textId="77777777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31EB87E1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3F6C49" w:rsidRPr="003F6C49">
        <w:rPr>
          <w:bCs/>
        </w:rPr>
        <w:t xml:space="preserve">Speciālo </w:t>
      </w:r>
      <w:proofErr w:type="spellStart"/>
      <w:r w:rsidR="004F6C01" w:rsidRPr="004F6C01">
        <w:rPr>
          <w:bCs/>
        </w:rPr>
        <w:t>svarcelšanas</w:t>
      </w:r>
      <w:proofErr w:type="spellEnd"/>
      <w:r w:rsidR="004F6C01" w:rsidRPr="004F6C01">
        <w:rPr>
          <w:bCs/>
        </w:rPr>
        <w:t xml:space="preserve"> apavu</w:t>
      </w:r>
      <w:r w:rsidR="004F6C01" w:rsidRPr="00C50365">
        <w:rPr>
          <w:b/>
          <w:color w:val="FF0000"/>
        </w:rPr>
        <w:t xml:space="preserve"> </w:t>
      </w:r>
      <w:r w:rsidR="003F6C49" w:rsidRPr="003F6C49">
        <w:rPr>
          <w:bCs/>
        </w:rPr>
        <w:t>iegāde Daugavpils ISVS vajadzībām</w:t>
      </w:r>
      <w:r w:rsidR="00297CBA">
        <w:t>;</w:t>
      </w:r>
    </w:p>
    <w:p w14:paraId="5F831866" w14:textId="7083DA64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3F6C49">
        <w:rPr>
          <w:rFonts w:eastAsia="Times New Roman"/>
          <w:bCs/>
          <w:lang w:eastAsia="en-US"/>
        </w:rPr>
        <w:t>1</w:t>
      </w:r>
      <w:r w:rsidR="006712F3">
        <w:rPr>
          <w:rFonts w:eastAsia="Times New Roman"/>
          <w:bCs/>
          <w:lang w:eastAsia="en-US"/>
        </w:rPr>
        <w:t>5</w:t>
      </w:r>
      <w:r w:rsidR="00761040" w:rsidRPr="000646C0">
        <w:rPr>
          <w:rFonts w:eastAsia="Times New Roman"/>
          <w:bCs/>
          <w:lang w:eastAsia="en-US"/>
        </w:rPr>
        <w:t>.</w:t>
      </w:r>
      <w:r w:rsidR="006712F3">
        <w:rPr>
          <w:rFonts w:eastAsia="Times New Roman"/>
          <w:bCs/>
          <w:lang w:eastAsia="en-US"/>
        </w:rPr>
        <w:t>august</w:t>
      </w:r>
      <w:r w:rsidR="00761040">
        <w:rPr>
          <w:rFonts w:eastAsia="Times New Roman"/>
          <w:bCs/>
          <w:lang w:eastAsia="en-US"/>
        </w:rPr>
        <w:t>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43"/>
        <w:gridCol w:w="2346"/>
        <w:gridCol w:w="5928"/>
        <w:gridCol w:w="1415"/>
      </w:tblGrid>
      <w:tr w:rsidR="003F6C49" w14:paraId="4B71492D" w14:textId="77777777" w:rsidTr="00046A00">
        <w:trPr>
          <w:trHeight w:val="685"/>
        </w:trPr>
        <w:tc>
          <w:tcPr>
            <w:tcW w:w="943" w:type="dxa"/>
          </w:tcPr>
          <w:p w14:paraId="27297695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bookmarkStart w:id="3" w:name="_Hlk74307508"/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18" w:type="dxa"/>
          </w:tcPr>
          <w:p w14:paraId="7CB6EF0B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5956" w:type="dxa"/>
          </w:tcPr>
          <w:p w14:paraId="10FD6CB0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415" w:type="dxa"/>
          </w:tcPr>
          <w:p w14:paraId="653F60CB" w14:textId="77777777" w:rsidR="003F6C49" w:rsidRPr="005E2AD9" w:rsidRDefault="003F6C49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</w:tr>
      <w:tr w:rsidR="004F6C01" w14:paraId="0BE76730" w14:textId="77777777" w:rsidTr="003403D4">
        <w:tc>
          <w:tcPr>
            <w:tcW w:w="943" w:type="dxa"/>
          </w:tcPr>
          <w:p w14:paraId="54111FBC" w14:textId="77777777" w:rsidR="004F6C01" w:rsidRDefault="004F6C01" w:rsidP="004F6C01">
            <w:pPr>
              <w:jc w:val="center"/>
            </w:pPr>
            <w:r>
              <w:t>1.</w:t>
            </w:r>
          </w:p>
        </w:tc>
        <w:tc>
          <w:tcPr>
            <w:tcW w:w="2318" w:type="dxa"/>
          </w:tcPr>
          <w:p w14:paraId="0EE3DA6C" w14:textId="77777777" w:rsidR="004F6C01" w:rsidRDefault="004F6C01" w:rsidP="004F6C01">
            <w:pPr>
              <w:jc w:val="center"/>
            </w:pPr>
            <w:r>
              <w:t xml:space="preserve">Specializēti </w:t>
            </w:r>
            <w:proofErr w:type="spellStart"/>
            <w:r>
              <w:t>svarcelšanas</w:t>
            </w:r>
            <w:proofErr w:type="spellEnd"/>
            <w:r>
              <w:t xml:space="preserve"> apavi</w:t>
            </w:r>
          </w:p>
          <w:p w14:paraId="563F256B" w14:textId="77777777" w:rsidR="004F6C01" w:rsidRDefault="004F6C01" w:rsidP="004F6C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28AC30" wp14:editId="5B6287CD">
                  <wp:extent cx="1349663" cy="807720"/>
                  <wp:effectExtent l="0" t="0" r="3175" b="0"/>
                  <wp:docPr id="1" name="Obrázek 28" descr="999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999.png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23" cy="81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B5EF3" w14:textId="77777777" w:rsidR="004F6C01" w:rsidRDefault="004F6C01" w:rsidP="004F6C01">
            <w:pPr>
              <w:jc w:val="center"/>
            </w:pPr>
          </w:p>
          <w:p w14:paraId="30C66B64" w14:textId="77777777" w:rsidR="004F6C01" w:rsidRDefault="004F6C01" w:rsidP="004F6C01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E009F8F" wp14:editId="28F613DB">
                  <wp:extent cx="1348740" cy="645307"/>
                  <wp:effectExtent l="0" t="0" r="3810" b="2540"/>
                  <wp:docPr id="3" name="Obrázek 31" descr="AO7987-0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ek 31" descr="AO7987-001.jpg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80" cy="65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2B05F" w14:textId="77777777" w:rsidR="004F6C01" w:rsidRDefault="004F6C01" w:rsidP="004F6C01">
            <w:pPr>
              <w:jc w:val="both"/>
              <w:rPr>
                <w:bCs/>
              </w:rPr>
            </w:pPr>
          </w:p>
          <w:p w14:paraId="33050C92" w14:textId="77777777" w:rsidR="004F6C01" w:rsidRDefault="004F6C01" w:rsidP="004F6C01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3648969" wp14:editId="42F8343F">
                  <wp:extent cx="1219200" cy="605576"/>
                  <wp:effectExtent l="0" t="0" r="0" b="4445"/>
                  <wp:docPr id="4" name="Obrázek 39" descr="ffff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ázek 39" descr="ffff.png">
                            <a:extLst>
                              <a:ext uri="{FF2B5EF4-FFF2-40B4-BE49-F238E27FC236}">
                                <a16:creationId xmlns:a16="http://schemas.microsoft.com/office/drawing/2014/main" id="{00000000-0008-0000-0000-00002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37" cy="61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011A2" w14:textId="77777777" w:rsidR="004F6C01" w:rsidRDefault="004F6C01" w:rsidP="004F6C01">
            <w:pPr>
              <w:jc w:val="both"/>
              <w:rPr>
                <w:bCs/>
              </w:rPr>
            </w:pPr>
          </w:p>
          <w:p w14:paraId="5A715076" w14:textId="77777777" w:rsidR="004F6C01" w:rsidRDefault="004F6C01" w:rsidP="004F6C01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6F92A15" wp14:editId="5FD02F42">
                  <wp:extent cx="1341120" cy="77744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87" cy="80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AF7D8" w14:textId="10BBC792" w:rsidR="004F6C01" w:rsidRDefault="004F6C01" w:rsidP="004F6C01">
            <w:pPr>
              <w:jc w:val="center"/>
            </w:pPr>
          </w:p>
        </w:tc>
        <w:tc>
          <w:tcPr>
            <w:tcW w:w="5956" w:type="dxa"/>
          </w:tcPr>
          <w:p w14:paraId="545F08A9" w14:textId="0AC9618C" w:rsidR="004F6C01" w:rsidRDefault="006712F3" w:rsidP="004F6C01">
            <w:pPr>
              <w:jc w:val="both"/>
            </w:pPr>
            <w:r>
              <w:rPr>
                <w:bCs/>
              </w:rPr>
              <w:t xml:space="preserve">       </w:t>
            </w:r>
            <w:r w:rsidR="004F6C01">
              <w:rPr>
                <w:bCs/>
              </w:rPr>
              <w:t xml:space="preserve">Specializēti </w:t>
            </w:r>
            <w:proofErr w:type="spellStart"/>
            <w:r w:rsidR="004F6C01">
              <w:rPr>
                <w:bCs/>
              </w:rPr>
              <w:t>svarcelšanas</w:t>
            </w:r>
            <w:proofErr w:type="spellEnd"/>
            <w:r w:rsidR="004F6C01">
              <w:rPr>
                <w:bCs/>
              </w:rPr>
              <w:t xml:space="preserve"> apavi </w:t>
            </w:r>
            <w:r w:rsidR="004F6C01">
              <w:t xml:space="preserve">jāatbilst LSF (Latvijas </w:t>
            </w:r>
            <w:proofErr w:type="spellStart"/>
            <w:r w:rsidR="004F6C01">
              <w:t>Svalcelšanas</w:t>
            </w:r>
            <w:proofErr w:type="spellEnd"/>
            <w:r w:rsidR="004F6C01">
              <w:t xml:space="preserve"> federācija) noteikumiem un noslēgušu reklāmas līgumu ar firmas “NIKE”. Saskaņā ar šo līgumu, sportistiem, kuri pārstāv Latvij</w:t>
            </w:r>
            <w:r>
              <w:t>u</w:t>
            </w:r>
            <w:r w:rsidR="004F6C01">
              <w:t xml:space="preserve"> starptautiskās </w:t>
            </w:r>
            <w:proofErr w:type="spellStart"/>
            <w:r w:rsidR="004F6C01">
              <w:t>svarcelšanas</w:t>
            </w:r>
            <w:proofErr w:type="spellEnd"/>
            <w:r w:rsidR="004F6C01">
              <w:t xml:space="preserve"> sacensībās, jāstartē “NIKE” firmas specializētajos apavos.</w:t>
            </w:r>
          </w:p>
          <w:p w14:paraId="5CDC21AC" w14:textId="0A252247" w:rsidR="004F6C01" w:rsidRDefault="006712F3" w:rsidP="004F6C01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</w:t>
            </w:r>
            <w:r w:rsidR="004F6C01" w:rsidRPr="00693C5F">
              <w:rPr>
                <w:color w:val="333333"/>
              </w:rPr>
              <w:t xml:space="preserve">Ļoti stingra, izturīga, cieta un viegla materiāla </w:t>
            </w:r>
            <w:proofErr w:type="spellStart"/>
            <w:r w:rsidR="004F6C01" w:rsidRPr="00693C5F">
              <w:rPr>
                <w:color w:val="333333"/>
              </w:rPr>
              <w:t>starpzole</w:t>
            </w:r>
            <w:proofErr w:type="spellEnd"/>
            <w:r w:rsidR="004F6C01" w:rsidRPr="00693C5F">
              <w:rPr>
                <w:color w:val="333333"/>
              </w:rPr>
              <w:t>, ka</w:t>
            </w:r>
            <w:r>
              <w:rPr>
                <w:color w:val="333333"/>
              </w:rPr>
              <w:t>s</w:t>
            </w:r>
            <w:r w:rsidR="004F6C01" w:rsidRPr="00693C5F">
              <w:rPr>
                <w:color w:val="333333"/>
              </w:rPr>
              <w:t xml:space="preserve"> ir paaugstināta papēža daļā, lai nodrošinātu maksimālu stabilitāti veicot </w:t>
            </w:r>
            <w:proofErr w:type="spellStart"/>
            <w:r w:rsidR="004F6C01" w:rsidRPr="00693C5F">
              <w:rPr>
                <w:color w:val="333333"/>
              </w:rPr>
              <w:t>svarcelšanu</w:t>
            </w:r>
            <w:proofErr w:type="spellEnd"/>
            <w:r w:rsidR="004F6C01">
              <w:rPr>
                <w:color w:val="333333"/>
              </w:rPr>
              <w:t xml:space="preserve">. </w:t>
            </w:r>
            <w:r w:rsidR="004F6C01" w:rsidRPr="00693C5F">
              <w:rPr>
                <w:color w:val="333333"/>
              </w:rPr>
              <w:t xml:space="preserve">Rievota dizaina </w:t>
            </w:r>
            <w:proofErr w:type="spellStart"/>
            <w:r w:rsidR="004F6C01" w:rsidRPr="00693C5F">
              <w:rPr>
                <w:color w:val="333333"/>
              </w:rPr>
              <w:t>starpzole</w:t>
            </w:r>
            <w:proofErr w:type="spellEnd"/>
            <w:r w:rsidR="004F6C01" w:rsidRPr="00693C5F">
              <w:rPr>
                <w:color w:val="333333"/>
              </w:rPr>
              <w:t xml:space="preserve"> nodrošina labāku izturību un optimālu spēka novirzi, veicot eksplozīvas kustības ar svariem. </w:t>
            </w:r>
          </w:p>
          <w:p w14:paraId="04049B01" w14:textId="64F757EB" w:rsidR="004F6C01" w:rsidRPr="00693C5F" w:rsidRDefault="006712F3" w:rsidP="004F6C01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</w:t>
            </w:r>
            <w:r w:rsidR="004F6C01" w:rsidRPr="00693C5F">
              <w:rPr>
                <w:color w:val="333333"/>
              </w:rPr>
              <w:t xml:space="preserve">Paplašināta, cieta un plakana </w:t>
            </w:r>
            <w:proofErr w:type="spellStart"/>
            <w:r w:rsidR="004F6C01" w:rsidRPr="00693C5F">
              <w:rPr>
                <w:color w:val="333333"/>
              </w:rPr>
              <w:t>ārzole</w:t>
            </w:r>
            <w:proofErr w:type="spellEnd"/>
            <w:r w:rsidR="004F6C01" w:rsidRPr="00693C5F">
              <w:rPr>
                <w:color w:val="333333"/>
              </w:rPr>
              <w:t xml:space="preserve"> papildus stabilitātei </w:t>
            </w:r>
            <w:proofErr w:type="spellStart"/>
            <w:r w:rsidR="004F6C01">
              <w:rPr>
                <w:color w:val="333333"/>
              </w:rPr>
              <w:t>s</w:t>
            </w:r>
            <w:r w:rsidR="004F6C01" w:rsidRPr="00693C5F">
              <w:rPr>
                <w:color w:val="333333"/>
              </w:rPr>
              <w:t>varcelšanas</w:t>
            </w:r>
            <w:proofErr w:type="spellEnd"/>
            <w:r w:rsidR="004F6C01" w:rsidRPr="00693C5F">
              <w:rPr>
                <w:color w:val="333333"/>
              </w:rPr>
              <w:t xml:space="preserve"> laikā.</w:t>
            </w:r>
            <w:r w:rsidR="004F6C01">
              <w:rPr>
                <w:color w:val="333333"/>
              </w:rPr>
              <w:t xml:space="preserve"> </w:t>
            </w:r>
            <w:r w:rsidR="004F6C01" w:rsidRPr="00693C5F">
              <w:rPr>
                <w:color w:val="333333"/>
              </w:rPr>
              <w:t xml:space="preserve">Gumijas </w:t>
            </w:r>
            <w:proofErr w:type="spellStart"/>
            <w:r w:rsidR="004F6C01" w:rsidRPr="00693C5F">
              <w:rPr>
                <w:color w:val="333333"/>
              </w:rPr>
              <w:t>ārzoles</w:t>
            </w:r>
            <w:proofErr w:type="spellEnd"/>
            <w:r w:rsidR="004F6C01" w:rsidRPr="00693C5F">
              <w:rPr>
                <w:color w:val="333333"/>
              </w:rPr>
              <w:t xml:space="preserve"> pārklājums mazina </w:t>
            </w:r>
            <w:proofErr w:type="spellStart"/>
            <w:r w:rsidR="004F6C01" w:rsidRPr="00693C5F">
              <w:rPr>
                <w:color w:val="333333"/>
              </w:rPr>
              <w:t>slīdamību</w:t>
            </w:r>
            <w:proofErr w:type="spellEnd"/>
            <w:r w:rsidR="004F6C01" w:rsidRPr="00693C5F">
              <w:rPr>
                <w:color w:val="333333"/>
              </w:rPr>
              <w:t>.</w:t>
            </w:r>
            <w:r w:rsidR="004F6C01">
              <w:rPr>
                <w:color w:val="333333"/>
              </w:rPr>
              <w:t xml:space="preserve"> </w:t>
            </w:r>
            <w:r w:rsidR="004F6C01" w:rsidRPr="00693C5F">
              <w:rPr>
                <w:color w:val="333333"/>
              </w:rPr>
              <w:t xml:space="preserve">Stingra </w:t>
            </w:r>
            <w:proofErr w:type="spellStart"/>
            <w:r w:rsidR="004F6C01" w:rsidRPr="00693C5F">
              <w:rPr>
                <w:color w:val="333333"/>
              </w:rPr>
              <w:t>sietiņmateriāla</w:t>
            </w:r>
            <w:proofErr w:type="spellEnd"/>
            <w:r w:rsidR="004F6C01" w:rsidRPr="00693C5F">
              <w:rPr>
                <w:color w:val="333333"/>
              </w:rPr>
              <w:t xml:space="preserve"> vi</w:t>
            </w:r>
            <w:r w:rsidR="004F6C01">
              <w:rPr>
                <w:color w:val="333333"/>
              </w:rPr>
              <w:t>r</w:t>
            </w:r>
            <w:r w:rsidR="004F6C01" w:rsidRPr="00693C5F">
              <w:rPr>
                <w:color w:val="333333"/>
              </w:rPr>
              <w:t xml:space="preserve">sdaļa ar sintētisku materiālu pārklājumiem, divām siksnām, no kurām viena savienota ar pēdas apakšu caur </w:t>
            </w:r>
            <w:proofErr w:type="spellStart"/>
            <w:r w:rsidR="004F6C01" w:rsidRPr="00693C5F">
              <w:rPr>
                <w:color w:val="333333"/>
              </w:rPr>
              <w:t>starpzoli</w:t>
            </w:r>
            <w:proofErr w:type="spellEnd"/>
            <w:r w:rsidR="004F6C01" w:rsidRPr="00693C5F">
              <w:rPr>
                <w:color w:val="333333"/>
              </w:rPr>
              <w:t xml:space="preserve">, lai nodrošinātu nevainojamu pēdas virsdaļas atbalstu un stabilitāti ceļot svaru, vienlaicīgi sniedzot arī nepieciešamo </w:t>
            </w:r>
            <w:proofErr w:type="spellStart"/>
            <w:r w:rsidR="004F6C01" w:rsidRPr="00693C5F">
              <w:rPr>
                <w:color w:val="333333"/>
              </w:rPr>
              <w:t>elpotspēju</w:t>
            </w:r>
            <w:proofErr w:type="spellEnd"/>
            <w:r w:rsidR="004F6C01" w:rsidRPr="00693C5F">
              <w:rPr>
                <w:color w:val="333333"/>
              </w:rPr>
              <w:t>.</w:t>
            </w:r>
          </w:p>
          <w:p w14:paraId="3FBB2ED5" w14:textId="77777777" w:rsidR="004F6C01" w:rsidRDefault="004F6C01" w:rsidP="004F6C01">
            <w:pPr>
              <w:jc w:val="both"/>
              <w:rPr>
                <w:bCs/>
              </w:rPr>
            </w:pPr>
          </w:p>
          <w:p w14:paraId="0B00876F" w14:textId="77777777" w:rsidR="004F6C01" w:rsidRDefault="004F6C01" w:rsidP="004F6C01">
            <w:pPr>
              <w:jc w:val="both"/>
            </w:pPr>
          </w:p>
          <w:p w14:paraId="2E586FF0" w14:textId="77777777" w:rsidR="004F6C01" w:rsidRDefault="004F6C01" w:rsidP="004F6C01">
            <w:pPr>
              <w:jc w:val="both"/>
            </w:pPr>
            <w:r>
              <w:rPr>
                <w:bCs/>
              </w:rPr>
              <w:t xml:space="preserve">Specializētos </w:t>
            </w:r>
            <w:proofErr w:type="spellStart"/>
            <w:r>
              <w:rPr>
                <w:bCs/>
              </w:rPr>
              <w:t>svarcelšanas</w:t>
            </w:r>
            <w:proofErr w:type="spellEnd"/>
            <w:r>
              <w:rPr>
                <w:bCs/>
              </w:rPr>
              <w:t xml:space="preserve"> apavu </w:t>
            </w:r>
            <w:r>
              <w:t>izmēri: 36; 37; 39; 40; 40,5; 41; 42; 43</w:t>
            </w:r>
          </w:p>
          <w:p w14:paraId="44680D6E" w14:textId="50B1E9B1" w:rsidR="004F6C01" w:rsidRDefault="004F6C01" w:rsidP="004F6C01"/>
        </w:tc>
        <w:tc>
          <w:tcPr>
            <w:tcW w:w="1415" w:type="dxa"/>
          </w:tcPr>
          <w:p w14:paraId="363274BF" w14:textId="77777777" w:rsidR="004F6C01" w:rsidRDefault="004F6C01" w:rsidP="004F6C01"/>
          <w:p w14:paraId="48B59090" w14:textId="77777777" w:rsidR="004F6C01" w:rsidRDefault="004F6C01" w:rsidP="004F6C01"/>
          <w:p w14:paraId="7877C198" w14:textId="77777777" w:rsidR="004F6C01" w:rsidRDefault="004F6C01" w:rsidP="004F6C01"/>
          <w:p w14:paraId="254AE9E5" w14:textId="77777777" w:rsidR="004F6C01" w:rsidRDefault="004F6C01" w:rsidP="004F6C01"/>
          <w:p w14:paraId="45FBAB77" w14:textId="77777777" w:rsidR="004F6C01" w:rsidRDefault="004F6C01" w:rsidP="004F6C01"/>
          <w:p w14:paraId="62EDD3B0" w14:textId="77777777" w:rsidR="004F6C01" w:rsidRDefault="004F6C01" w:rsidP="004F6C01"/>
          <w:p w14:paraId="58DEF083" w14:textId="77777777" w:rsidR="004F6C01" w:rsidRDefault="004F6C01" w:rsidP="004F6C01"/>
          <w:p w14:paraId="7BBDA8CE" w14:textId="77777777" w:rsidR="004F6C01" w:rsidRDefault="004F6C01" w:rsidP="004F6C01"/>
          <w:p w14:paraId="3601D129" w14:textId="77777777" w:rsidR="004F6C01" w:rsidRDefault="004F6C01" w:rsidP="004F6C01"/>
          <w:p w14:paraId="7EC1E224" w14:textId="77777777" w:rsidR="004F6C01" w:rsidRDefault="004F6C01" w:rsidP="004F6C01"/>
          <w:p w14:paraId="6F0D6D85" w14:textId="77777777" w:rsidR="004F6C01" w:rsidRDefault="004F6C01" w:rsidP="004F6C01"/>
          <w:p w14:paraId="712F7DA0" w14:textId="77777777" w:rsidR="004F6C01" w:rsidRDefault="004F6C01" w:rsidP="004F6C01"/>
          <w:p w14:paraId="45F35C22" w14:textId="77777777" w:rsidR="004F6C01" w:rsidRDefault="004F6C01" w:rsidP="004F6C01"/>
          <w:p w14:paraId="24226BAE" w14:textId="77777777" w:rsidR="004F6C01" w:rsidRDefault="004F6C01" w:rsidP="004F6C01"/>
          <w:p w14:paraId="5789B831" w14:textId="77777777" w:rsidR="004F6C01" w:rsidRDefault="004F6C01" w:rsidP="004F6C01"/>
          <w:p w14:paraId="596C22AA" w14:textId="77777777" w:rsidR="004F6C01" w:rsidRDefault="004F6C01" w:rsidP="004F6C01"/>
          <w:p w14:paraId="247ABF0F" w14:textId="77777777" w:rsidR="004F6C01" w:rsidRDefault="004F6C01" w:rsidP="004F6C01"/>
          <w:p w14:paraId="14005A20" w14:textId="77777777" w:rsidR="004F6C01" w:rsidRDefault="004F6C01" w:rsidP="004F6C01"/>
          <w:p w14:paraId="6C8E2F86" w14:textId="77777777" w:rsidR="004F6C01" w:rsidRDefault="004F6C01" w:rsidP="004F6C01"/>
          <w:p w14:paraId="25C226D6" w14:textId="77777777" w:rsidR="004F6C01" w:rsidRDefault="004F6C01" w:rsidP="004F6C01"/>
          <w:p w14:paraId="24589CA9" w14:textId="77777777" w:rsidR="004F6C01" w:rsidRDefault="004F6C01" w:rsidP="004F6C01"/>
          <w:p w14:paraId="66D81D42" w14:textId="767ECCB8" w:rsidR="004F6C01" w:rsidRPr="005E2AD9" w:rsidRDefault="004F6C01" w:rsidP="004F6C01">
            <w:r>
              <w:t>8 pāri</w:t>
            </w:r>
          </w:p>
        </w:tc>
      </w:tr>
      <w:bookmarkEnd w:id="3"/>
    </w:tbl>
    <w:p w14:paraId="6DED6F26" w14:textId="77777777" w:rsidR="00A16E2D" w:rsidRDefault="00A16E2D" w:rsidP="00A16E2D">
      <w:pPr>
        <w:suppressAutoHyphens/>
        <w:jc w:val="center"/>
        <w:rPr>
          <w:b/>
        </w:rPr>
      </w:pPr>
    </w:p>
    <w:p w14:paraId="55A35551" w14:textId="77777777" w:rsidR="004F6C01" w:rsidRDefault="004F6C01" w:rsidP="004711DF"/>
    <w:p w14:paraId="682797D2" w14:textId="77777777" w:rsidR="004F6C01" w:rsidRDefault="004F6C01" w:rsidP="004711DF"/>
    <w:p w14:paraId="48CE035C" w14:textId="760CE7DA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65BCBBB8" w14:textId="77777777" w:rsidR="00E94527" w:rsidRDefault="00E94527" w:rsidP="004711DF"/>
    <w:p w14:paraId="147A6A12" w14:textId="77777777" w:rsidR="00E94527" w:rsidRDefault="00E94527" w:rsidP="004711DF"/>
    <w:p w14:paraId="3744016B" w14:textId="77777777" w:rsidR="00E94527" w:rsidRDefault="00E94527" w:rsidP="004711DF"/>
    <w:p w14:paraId="46F72749" w14:textId="77777777" w:rsidR="00E94527" w:rsidRDefault="00E94527" w:rsidP="004711DF"/>
    <w:p w14:paraId="12AAE4F4" w14:textId="2E8080F2" w:rsidR="00E94527" w:rsidRDefault="00E94527" w:rsidP="004711DF"/>
    <w:p w14:paraId="12DF87E1" w14:textId="51F8366B" w:rsidR="00046A00" w:rsidRDefault="00046A00" w:rsidP="004711DF"/>
    <w:p w14:paraId="3A4C8CA0" w14:textId="68A1BF64" w:rsidR="004F6C01" w:rsidRDefault="004F6C01" w:rsidP="004711DF"/>
    <w:p w14:paraId="203860F5" w14:textId="0D5E210C" w:rsidR="004F6C01" w:rsidRDefault="004F6C01" w:rsidP="004711DF"/>
    <w:p w14:paraId="6F26806E" w14:textId="77777777" w:rsidR="006712F3" w:rsidRDefault="006712F3" w:rsidP="004711DF"/>
    <w:p w14:paraId="5E50D293" w14:textId="5DAB4D1C" w:rsidR="004F6C01" w:rsidRDefault="004F6C01" w:rsidP="004711DF"/>
    <w:p w14:paraId="0FBA00BE" w14:textId="6DBB3D21" w:rsidR="004F6C01" w:rsidRDefault="004F6C01" w:rsidP="004711DF"/>
    <w:p w14:paraId="43251F76" w14:textId="0234D11B" w:rsidR="004F6C01" w:rsidRDefault="004F6C01" w:rsidP="004711DF"/>
    <w:p w14:paraId="3F46A71D" w14:textId="77777777" w:rsidR="004F6C01" w:rsidRDefault="004F6C01" w:rsidP="004711DF"/>
    <w:p w14:paraId="6E8D1E55" w14:textId="77777777" w:rsidR="00046A00" w:rsidRDefault="00046A00" w:rsidP="004711DF"/>
    <w:p w14:paraId="411E186B" w14:textId="4819EC07" w:rsidR="00E94527" w:rsidRDefault="00E94527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696FB2D0" w14:textId="2C18FEC8" w:rsidR="00046A00" w:rsidRDefault="00046A00" w:rsidP="00046A00">
      <w:pPr>
        <w:tabs>
          <w:tab w:val="left" w:pos="0"/>
        </w:tabs>
        <w:jc w:val="right"/>
        <w:rPr>
          <w:b/>
        </w:rPr>
      </w:pPr>
      <w:r w:rsidRPr="005E2AD9">
        <w:rPr>
          <w:b/>
        </w:rPr>
        <w:t xml:space="preserve">Speciālo </w:t>
      </w:r>
      <w:proofErr w:type="spellStart"/>
      <w:r w:rsidR="004F6C01" w:rsidRPr="004F6C01">
        <w:rPr>
          <w:b/>
        </w:rPr>
        <w:t>svarcelšanas</w:t>
      </w:r>
      <w:proofErr w:type="spellEnd"/>
      <w:r w:rsidR="004F6C01" w:rsidRPr="004F6C01">
        <w:rPr>
          <w:b/>
        </w:rPr>
        <w:t xml:space="preserve"> apavu</w:t>
      </w:r>
      <w:r w:rsidRPr="005E2AD9">
        <w:rPr>
          <w:b/>
        </w:rPr>
        <w:t xml:space="preserve"> iegāde</w:t>
      </w:r>
    </w:p>
    <w:p w14:paraId="7D2BB684" w14:textId="77777777" w:rsidR="00046A00" w:rsidRDefault="00046A00" w:rsidP="00046A00">
      <w:pPr>
        <w:tabs>
          <w:tab w:val="left" w:pos="0"/>
        </w:tabs>
        <w:jc w:val="right"/>
        <w:rPr>
          <w:sz w:val="20"/>
          <w:szCs w:val="20"/>
        </w:rPr>
      </w:pPr>
      <w:r w:rsidRPr="005E2AD9">
        <w:rPr>
          <w:b/>
        </w:rPr>
        <w:t xml:space="preserve"> Daugavpils I</w:t>
      </w:r>
      <w:r>
        <w:rPr>
          <w:b/>
        </w:rPr>
        <w:t>SVS</w:t>
      </w:r>
      <w:r w:rsidRPr="005E2AD9">
        <w:rPr>
          <w:b/>
        </w:rPr>
        <w:t xml:space="preserve"> vajadzībām</w:t>
      </w:r>
      <w:r w:rsidRPr="00504778">
        <w:rPr>
          <w:sz w:val="20"/>
          <w:szCs w:val="20"/>
        </w:rPr>
        <w:t xml:space="preserve"> </w:t>
      </w:r>
    </w:p>
    <w:p w14:paraId="1105E7CF" w14:textId="709E43B5" w:rsidR="00046A00" w:rsidRDefault="00046A00" w:rsidP="00046A00">
      <w:pPr>
        <w:tabs>
          <w:tab w:val="left" w:pos="0"/>
        </w:tabs>
        <w:jc w:val="right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4F6C01">
        <w:rPr>
          <w:i/>
          <w:sz w:val="20"/>
          <w:szCs w:val="20"/>
        </w:rPr>
        <w:t>1</w:t>
      </w:r>
    </w:p>
    <w:p w14:paraId="02985C49" w14:textId="77777777" w:rsidR="004F6C01" w:rsidRPr="00504778" w:rsidRDefault="004F6C01" w:rsidP="00046A00">
      <w:pPr>
        <w:tabs>
          <w:tab w:val="left" w:pos="0"/>
        </w:tabs>
        <w:jc w:val="right"/>
        <w:rPr>
          <w:sz w:val="20"/>
          <w:szCs w:val="20"/>
        </w:rPr>
      </w:pP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59175ED7" w14:textId="77777777" w:rsidR="004F6C01" w:rsidRDefault="004F6C01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6564642F" w14:textId="6376A150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0C017C3" w14:textId="6F6CCF0E" w:rsidR="00046A00" w:rsidRDefault="00E42065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</w:t>
      </w:r>
      <w:proofErr w:type="spellStart"/>
      <w:r w:rsidR="00723CA7">
        <w:t>svarcelšanas</w:t>
      </w:r>
      <w:proofErr w:type="spellEnd"/>
      <w:r w:rsidR="00CB30FF" w:rsidRPr="00850EC5">
        <w:t xml:space="preserve"> nodaļai </w:t>
      </w:r>
      <w:r w:rsidR="00046A00">
        <w:t xml:space="preserve">speciālo </w:t>
      </w:r>
      <w:proofErr w:type="spellStart"/>
      <w:r w:rsidR="004F6C01" w:rsidRPr="004F6C01">
        <w:rPr>
          <w:bCs/>
        </w:rPr>
        <w:t>svarcelšanas</w:t>
      </w:r>
      <w:proofErr w:type="spellEnd"/>
      <w:r w:rsidR="004F6C01" w:rsidRPr="004F6C01">
        <w:rPr>
          <w:bCs/>
        </w:rPr>
        <w:t xml:space="preserve"> apavu</w:t>
      </w:r>
      <w:r w:rsidR="004F6C01" w:rsidRPr="004F6C01">
        <w:rPr>
          <w:b/>
        </w:rPr>
        <w:t xml:space="preserve"> </w:t>
      </w:r>
      <w:r>
        <w:t>par šādu cenu</w:t>
      </w:r>
      <w:r w:rsidR="00E932E2">
        <w:t>:</w:t>
      </w:r>
    </w:p>
    <w:p w14:paraId="754527C8" w14:textId="77777777" w:rsidR="00046A00" w:rsidRDefault="00046A00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291D2825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43"/>
        <w:gridCol w:w="2346"/>
        <w:gridCol w:w="4435"/>
        <w:gridCol w:w="1633"/>
        <w:gridCol w:w="1275"/>
      </w:tblGrid>
      <w:tr w:rsidR="004F6C01" w14:paraId="61F0068D" w14:textId="497E1168" w:rsidTr="004F6C01">
        <w:trPr>
          <w:trHeight w:val="685"/>
        </w:trPr>
        <w:tc>
          <w:tcPr>
            <w:tcW w:w="943" w:type="dxa"/>
          </w:tcPr>
          <w:p w14:paraId="63D867BA" w14:textId="77777777" w:rsidR="004F6C01" w:rsidRPr="0089621E" w:rsidRDefault="004F6C01" w:rsidP="00AE7D24">
            <w:pPr>
              <w:jc w:val="center"/>
              <w:rPr>
                <w:b/>
                <w:bCs/>
              </w:rPr>
            </w:pPr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46" w:type="dxa"/>
          </w:tcPr>
          <w:p w14:paraId="001035DF" w14:textId="77777777" w:rsidR="004F6C01" w:rsidRPr="0089621E" w:rsidRDefault="004F6C01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4435" w:type="dxa"/>
          </w:tcPr>
          <w:p w14:paraId="08EF63B0" w14:textId="77777777" w:rsidR="004F6C01" w:rsidRPr="0089621E" w:rsidRDefault="004F6C01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633" w:type="dxa"/>
          </w:tcPr>
          <w:p w14:paraId="62D008D7" w14:textId="77777777" w:rsidR="004F6C01" w:rsidRPr="005E2AD9" w:rsidRDefault="004F6C01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  <w:tc>
          <w:tcPr>
            <w:tcW w:w="1275" w:type="dxa"/>
          </w:tcPr>
          <w:p w14:paraId="046EAE3B" w14:textId="277D058E" w:rsidR="004F6C01" w:rsidRPr="005E2AD9" w:rsidRDefault="004F6C01" w:rsidP="00AE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 w:rsidR="004F6C01" w14:paraId="42099288" w14:textId="251ED30B" w:rsidTr="004F6C01">
        <w:tc>
          <w:tcPr>
            <w:tcW w:w="943" w:type="dxa"/>
          </w:tcPr>
          <w:p w14:paraId="50382CCF" w14:textId="77777777" w:rsidR="004F6C01" w:rsidRDefault="004F6C01" w:rsidP="004F6C01">
            <w:pPr>
              <w:jc w:val="center"/>
            </w:pPr>
            <w:r>
              <w:t>1.</w:t>
            </w:r>
          </w:p>
        </w:tc>
        <w:tc>
          <w:tcPr>
            <w:tcW w:w="2346" w:type="dxa"/>
          </w:tcPr>
          <w:p w14:paraId="0666D721" w14:textId="77777777" w:rsidR="004F6C01" w:rsidRDefault="004F6C01" w:rsidP="004F6C01">
            <w:pPr>
              <w:jc w:val="center"/>
            </w:pPr>
            <w:r>
              <w:t xml:space="preserve">Specializēti </w:t>
            </w:r>
            <w:proofErr w:type="spellStart"/>
            <w:r>
              <w:t>svarcelšanas</w:t>
            </w:r>
            <w:proofErr w:type="spellEnd"/>
            <w:r>
              <w:t xml:space="preserve"> apavi</w:t>
            </w:r>
          </w:p>
          <w:p w14:paraId="3257C629" w14:textId="77777777" w:rsidR="004F6C01" w:rsidRDefault="004F6C01" w:rsidP="004F6C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2BD91" wp14:editId="663F1CB2">
                  <wp:extent cx="1349663" cy="807720"/>
                  <wp:effectExtent l="0" t="0" r="3175" b="0"/>
                  <wp:docPr id="13" name="Obrázek 28" descr="999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999.png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23" cy="81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9DD12" w14:textId="77777777" w:rsidR="004F6C01" w:rsidRDefault="004F6C01" w:rsidP="004F6C01">
            <w:pPr>
              <w:jc w:val="center"/>
            </w:pPr>
          </w:p>
          <w:p w14:paraId="4E82F4FF" w14:textId="77777777" w:rsidR="004F6C01" w:rsidRDefault="004F6C01" w:rsidP="004F6C01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E3CBB46" wp14:editId="1AE92168">
                  <wp:extent cx="1348740" cy="645307"/>
                  <wp:effectExtent l="0" t="0" r="3810" b="2540"/>
                  <wp:docPr id="14" name="Obrázek 31" descr="AO7987-0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ek 31" descr="AO7987-001.jpg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80" cy="65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DC56A" w14:textId="77777777" w:rsidR="004F6C01" w:rsidRDefault="004F6C01" w:rsidP="004F6C01">
            <w:pPr>
              <w:jc w:val="both"/>
              <w:rPr>
                <w:bCs/>
              </w:rPr>
            </w:pPr>
          </w:p>
          <w:p w14:paraId="728B20C3" w14:textId="77777777" w:rsidR="004F6C01" w:rsidRDefault="004F6C01" w:rsidP="004F6C01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CB3565D" wp14:editId="070527D9">
                  <wp:extent cx="1219200" cy="605576"/>
                  <wp:effectExtent l="0" t="0" r="0" b="4445"/>
                  <wp:docPr id="15" name="Obrázek 39" descr="ffff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ázek 39" descr="ffff.png">
                            <a:extLst>
                              <a:ext uri="{FF2B5EF4-FFF2-40B4-BE49-F238E27FC236}">
                                <a16:creationId xmlns:a16="http://schemas.microsoft.com/office/drawing/2014/main" id="{00000000-0008-0000-0000-00002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37" cy="61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CDF4" w14:textId="77777777" w:rsidR="004F6C01" w:rsidRDefault="004F6C01" w:rsidP="004F6C01">
            <w:pPr>
              <w:jc w:val="both"/>
              <w:rPr>
                <w:bCs/>
              </w:rPr>
            </w:pPr>
          </w:p>
          <w:p w14:paraId="420DDFE2" w14:textId="77777777" w:rsidR="004F6C01" w:rsidRDefault="004F6C01" w:rsidP="004F6C01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BD65F42" wp14:editId="1A11665B">
                  <wp:extent cx="1341120" cy="777448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87" cy="80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E48F8" w14:textId="7B1597A0" w:rsidR="004F6C01" w:rsidRDefault="004F6C01" w:rsidP="004F6C01">
            <w:pPr>
              <w:jc w:val="center"/>
            </w:pPr>
          </w:p>
        </w:tc>
        <w:tc>
          <w:tcPr>
            <w:tcW w:w="4435" w:type="dxa"/>
          </w:tcPr>
          <w:p w14:paraId="41A648D8" w14:textId="0322333C" w:rsidR="006712F3" w:rsidRDefault="006712F3" w:rsidP="006712F3">
            <w:pPr>
              <w:jc w:val="both"/>
            </w:pPr>
            <w:r>
              <w:rPr>
                <w:bCs/>
              </w:rPr>
              <w:t xml:space="preserve">       Specializēti </w:t>
            </w:r>
            <w:proofErr w:type="spellStart"/>
            <w:r>
              <w:rPr>
                <w:bCs/>
              </w:rPr>
              <w:t>svarcelšanas</w:t>
            </w:r>
            <w:proofErr w:type="spellEnd"/>
            <w:r>
              <w:rPr>
                <w:bCs/>
              </w:rPr>
              <w:t xml:space="preserve"> apavi </w:t>
            </w:r>
            <w:r>
              <w:t xml:space="preserve">jāatbilst LSF (Latvijas </w:t>
            </w:r>
            <w:proofErr w:type="spellStart"/>
            <w:r>
              <w:t>Svalcelšanas</w:t>
            </w:r>
            <w:proofErr w:type="spellEnd"/>
            <w:r>
              <w:t xml:space="preserve"> federācija) noteikumiem un noslēgušu reklāmas līgumu ar firmas “NIKE”. Saskaņā ar šo līgumu, sportistiem, kuri pārstāv Latviju starptautiskās </w:t>
            </w:r>
            <w:proofErr w:type="spellStart"/>
            <w:r>
              <w:t>svarcelšanas</w:t>
            </w:r>
            <w:proofErr w:type="spellEnd"/>
            <w:r>
              <w:t xml:space="preserve"> sacensībās, jāstartē “NIKE” firmas specializētajos apavos.</w:t>
            </w:r>
          </w:p>
          <w:p w14:paraId="52143547" w14:textId="77777777" w:rsidR="006712F3" w:rsidRDefault="006712F3" w:rsidP="006712F3">
            <w:pPr>
              <w:jc w:val="both"/>
            </w:pPr>
          </w:p>
          <w:p w14:paraId="23456AA6" w14:textId="6C4CC345" w:rsidR="006712F3" w:rsidRDefault="006712F3" w:rsidP="006712F3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</w:t>
            </w:r>
            <w:r w:rsidRPr="00693C5F">
              <w:rPr>
                <w:color w:val="333333"/>
              </w:rPr>
              <w:t xml:space="preserve">Ļoti stingra, izturīga, cieta un viegla materiāla </w:t>
            </w:r>
            <w:proofErr w:type="spellStart"/>
            <w:r w:rsidRPr="00693C5F">
              <w:rPr>
                <w:color w:val="333333"/>
              </w:rPr>
              <w:t>starpzole</w:t>
            </w:r>
            <w:proofErr w:type="spellEnd"/>
            <w:r w:rsidRPr="00693C5F">
              <w:rPr>
                <w:color w:val="333333"/>
              </w:rPr>
              <w:t>, ka</w:t>
            </w:r>
            <w:r>
              <w:rPr>
                <w:color w:val="333333"/>
              </w:rPr>
              <w:t>s</w:t>
            </w:r>
            <w:r w:rsidRPr="00693C5F">
              <w:rPr>
                <w:color w:val="333333"/>
              </w:rPr>
              <w:t xml:space="preserve"> ir paaugstināta papēža daļā, lai nodrošinātu maksimālu stabilitāti veicot </w:t>
            </w:r>
            <w:proofErr w:type="spellStart"/>
            <w:r w:rsidRPr="00693C5F">
              <w:rPr>
                <w:color w:val="333333"/>
              </w:rPr>
              <w:t>svarcelšanu</w:t>
            </w:r>
            <w:proofErr w:type="spellEnd"/>
            <w:r>
              <w:rPr>
                <w:color w:val="333333"/>
              </w:rPr>
              <w:t xml:space="preserve">. </w:t>
            </w:r>
            <w:r w:rsidRPr="00693C5F">
              <w:rPr>
                <w:color w:val="333333"/>
              </w:rPr>
              <w:t xml:space="preserve">Rievota dizaina </w:t>
            </w:r>
            <w:proofErr w:type="spellStart"/>
            <w:r w:rsidRPr="00693C5F">
              <w:rPr>
                <w:color w:val="333333"/>
              </w:rPr>
              <w:t>starpzole</w:t>
            </w:r>
            <w:proofErr w:type="spellEnd"/>
            <w:r w:rsidRPr="00693C5F">
              <w:rPr>
                <w:color w:val="333333"/>
              </w:rPr>
              <w:t xml:space="preserve"> nodrošina labāku izturību un optimālu spēka novirzi, veicot eksplozīvas kustības ar svariem. </w:t>
            </w:r>
          </w:p>
          <w:p w14:paraId="57EC2880" w14:textId="77777777" w:rsidR="006712F3" w:rsidRDefault="006712F3" w:rsidP="006712F3">
            <w:pPr>
              <w:shd w:val="clear" w:color="auto" w:fill="FFFFFF"/>
              <w:jc w:val="both"/>
              <w:rPr>
                <w:color w:val="333333"/>
              </w:rPr>
            </w:pPr>
          </w:p>
          <w:p w14:paraId="39193686" w14:textId="77777777" w:rsidR="006712F3" w:rsidRPr="00693C5F" w:rsidRDefault="006712F3" w:rsidP="006712F3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</w:t>
            </w:r>
            <w:r w:rsidRPr="00693C5F">
              <w:rPr>
                <w:color w:val="333333"/>
              </w:rPr>
              <w:t xml:space="preserve">Paplašināta, cieta un plakana </w:t>
            </w:r>
            <w:proofErr w:type="spellStart"/>
            <w:r w:rsidRPr="00693C5F">
              <w:rPr>
                <w:color w:val="333333"/>
              </w:rPr>
              <w:t>ārzole</w:t>
            </w:r>
            <w:proofErr w:type="spellEnd"/>
            <w:r w:rsidRPr="00693C5F">
              <w:rPr>
                <w:color w:val="333333"/>
              </w:rPr>
              <w:t xml:space="preserve"> papildus stabilitātei </w:t>
            </w:r>
            <w:proofErr w:type="spellStart"/>
            <w:r>
              <w:rPr>
                <w:color w:val="333333"/>
              </w:rPr>
              <w:t>s</w:t>
            </w:r>
            <w:r w:rsidRPr="00693C5F">
              <w:rPr>
                <w:color w:val="333333"/>
              </w:rPr>
              <w:t>varcelšanas</w:t>
            </w:r>
            <w:proofErr w:type="spellEnd"/>
            <w:r w:rsidRPr="00693C5F">
              <w:rPr>
                <w:color w:val="333333"/>
              </w:rPr>
              <w:t xml:space="preserve"> laikā.</w:t>
            </w:r>
            <w:r>
              <w:rPr>
                <w:color w:val="333333"/>
              </w:rPr>
              <w:t xml:space="preserve"> </w:t>
            </w:r>
            <w:r w:rsidRPr="00693C5F">
              <w:rPr>
                <w:color w:val="333333"/>
              </w:rPr>
              <w:t xml:space="preserve">Gumijas </w:t>
            </w:r>
            <w:proofErr w:type="spellStart"/>
            <w:r w:rsidRPr="00693C5F">
              <w:rPr>
                <w:color w:val="333333"/>
              </w:rPr>
              <w:t>ārzoles</w:t>
            </w:r>
            <w:proofErr w:type="spellEnd"/>
            <w:r w:rsidRPr="00693C5F">
              <w:rPr>
                <w:color w:val="333333"/>
              </w:rPr>
              <w:t xml:space="preserve"> pārklājums mazina </w:t>
            </w:r>
            <w:proofErr w:type="spellStart"/>
            <w:r w:rsidRPr="00693C5F">
              <w:rPr>
                <w:color w:val="333333"/>
              </w:rPr>
              <w:t>slīdamību</w:t>
            </w:r>
            <w:proofErr w:type="spellEnd"/>
            <w:r w:rsidRPr="00693C5F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</w:t>
            </w:r>
            <w:r w:rsidRPr="00693C5F">
              <w:rPr>
                <w:color w:val="333333"/>
              </w:rPr>
              <w:t xml:space="preserve">Stingra </w:t>
            </w:r>
            <w:proofErr w:type="spellStart"/>
            <w:r w:rsidRPr="00693C5F">
              <w:rPr>
                <w:color w:val="333333"/>
              </w:rPr>
              <w:t>sietiņmateriāla</w:t>
            </w:r>
            <w:proofErr w:type="spellEnd"/>
            <w:r w:rsidRPr="00693C5F">
              <w:rPr>
                <w:color w:val="333333"/>
              </w:rPr>
              <w:t xml:space="preserve"> vi</w:t>
            </w:r>
            <w:r>
              <w:rPr>
                <w:color w:val="333333"/>
              </w:rPr>
              <w:t>r</w:t>
            </w:r>
            <w:r w:rsidRPr="00693C5F">
              <w:rPr>
                <w:color w:val="333333"/>
              </w:rPr>
              <w:t xml:space="preserve">sdaļa ar sintētisku materiālu pārklājumiem, divām siksnām, no kurām viena savienota ar pēdas apakšu caur </w:t>
            </w:r>
            <w:proofErr w:type="spellStart"/>
            <w:r w:rsidRPr="00693C5F">
              <w:rPr>
                <w:color w:val="333333"/>
              </w:rPr>
              <w:t>starpzoli</w:t>
            </w:r>
            <w:proofErr w:type="spellEnd"/>
            <w:r w:rsidRPr="00693C5F">
              <w:rPr>
                <w:color w:val="333333"/>
              </w:rPr>
              <w:t xml:space="preserve">, lai </w:t>
            </w:r>
            <w:r w:rsidRPr="00693C5F">
              <w:rPr>
                <w:color w:val="333333"/>
              </w:rPr>
              <w:lastRenderedPageBreak/>
              <w:t xml:space="preserve">nodrošinātu nevainojamu pēdas virsdaļas atbalstu un stabilitāti ceļot svaru, vienlaicīgi sniedzot arī nepieciešamo </w:t>
            </w:r>
            <w:proofErr w:type="spellStart"/>
            <w:r w:rsidRPr="00693C5F">
              <w:rPr>
                <w:color w:val="333333"/>
              </w:rPr>
              <w:t>elpotspēju</w:t>
            </w:r>
            <w:proofErr w:type="spellEnd"/>
            <w:r w:rsidRPr="00693C5F">
              <w:rPr>
                <w:color w:val="333333"/>
              </w:rPr>
              <w:t>.</w:t>
            </w:r>
          </w:p>
          <w:p w14:paraId="174D92D1" w14:textId="77777777" w:rsidR="006712F3" w:rsidRDefault="006712F3" w:rsidP="006712F3">
            <w:pPr>
              <w:jc w:val="both"/>
              <w:rPr>
                <w:bCs/>
              </w:rPr>
            </w:pPr>
          </w:p>
          <w:p w14:paraId="01CBD11F" w14:textId="77777777" w:rsidR="006712F3" w:rsidRDefault="006712F3" w:rsidP="006712F3">
            <w:pPr>
              <w:jc w:val="both"/>
            </w:pPr>
            <w:r>
              <w:rPr>
                <w:bCs/>
              </w:rPr>
              <w:t xml:space="preserve">Specializētos </w:t>
            </w:r>
            <w:proofErr w:type="spellStart"/>
            <w:r>
              <w:rPr>
                <w:bCs/>
              </w:rPr>
              <w:t>svarcelšanas</w:t>
            </w:r>
            <w:proofErr w:type="spellEnd"/>
            <w:r>
              <w:rPr>
                <w:bCs/>
              </w:rPr>
              <w:t xml:space="preserve"> apavu </w:t>
            </w:r>
            <w:r>
              <w:t>izmēri: 36; 37; 39; 40; 40,5; 41; 42; 43</w:t>
            </w:r>
          </w:p>
          <w:p w14:paraId="2C1D5536" w14:textId="36D19D2A" w:rsidR="004F6C01" w:rsidRDefault="004F6C01" w:rsidP="004F6C01"/>
        </w:tc>
        <w:tc>
          <w:tcPr>
            <w:tcW w:w="1633" w:type="dxa"/>
          </w:tcPr>
          <w:p w14:paraId="5554E257" w14:textId="77777777" w:rsidR="004F6C01" w:rsidRDefault="004F6C01" w:rsidP="004F6C01"/>
          <w:p w14:paraId="347BF700" w14:textId="77777777" w:rsidR="004F6C01" w:rsidRDefault="004F6C01" w:rsidP="004F6C01"/>
          <w:p w14:paraId="12BF9B36" w14:textId="77777777" w:rsidR="004F6C01" w:rsidRDefault="004F6C01" w:rsidP="004F6C01"/>
          <w:p w14:paraId="5BB222C9" w14:textId="77777777" w:rsidR="004F6C01" w:rsidRDefault="004F6C01" w:rsidP="004F6C01"/>
          <w:p w14:paraId="5BED4D63" w14:textId="77777777" w:rsidR="004F6C01" w:rsidRDefault="004F6C01" w:rsidP="004F6C01"/>
          <w:p w14:paraId="39BEBD09" w14:textId="77777777" w:rsidR="004F6C01" w:rsidRDefault="004F6C01" w:rsidP="004F6C01"/>
          <w:p w14:paraId="6566D596" w14:textId="77777777" w:rsidR="004F6C01" w:rsidRDefault="004F6C01" w:rsidP="004F6C01"/>
          <w:p w14:paraId="351CDB19" w14:textId="77777777" w:rsidR="004F6C01" w:rsidRDefault="004F6C01" w:rsidP="004F6C01"/>
          <w:p w14:paraId="2F0E0E5F" w14:textId="77777777" w:rsidR="004F6C01" w:rsidRDefault="004F6C01" w:rsidP="004F6C01"/>
          <w:p w14:paraId="494A2682" w14:textId="77777777" w:rsidR="004F6C01" w:rsidRDefault="004F6C01" w:rsidP="004F6C01"/>
          <w:p w14:paraId="3CB41475" w14:textId="77777777" w:rsidR="004F6C01" w:rsidRDefault="004F6C01" w:rsidP="004F6C01"/>
          <w:p w14:paraId="63818E10" w14:textId="77777777" w:rsidR="004F6C01" w:rsidRDefault="004F6C01" w:rsidP="004F6C01"/>
          <w:p w14:paraId="7C33F98A" w14:textId="77777777" w:rsidR="004F6C01" w:rsidRDefault="004F6C01" w:rsidP="004F6C01"/>
          <w:p w14:paraId="70F91B64" w14:textId="77777777" w:rsidR="004F6C01" w:rsidRDefault="004F6C01" w:rsidP="004F6C01"/>
          <w:p w14:paraId="1F9CB9B3" w14:textId="77777777" w:rsidR="004F6C01" w:rsidRDefault="004F6C01" w:rsidP="004F6C01"/>
          <w:p w14:paraId="5A8CD0EE" w14:textId="77777777" w:rsidR="004F6C01" w:rsidRDefault="004F6C01" w:rsidP="004F6C01"/>
          <w:p w14:paraId="6738308C" w14:textId="77777777" w:rsidR="004F6C01" w:rsidRDefault="004F6C01" w:rsidP="004F6C01"/>
          <w:p w14:paraId="71AB4EE3" w14:textId="77777777" w:rsidR="004F6C01" w:rsidRDefault="004F6C01" w:rsidP="004F6C01"/>
          <w:p w14:paraId="53FE471C" w14:textId="77777777" w:rsidR="004F6C01" w:rsidRDefault="004F6C01" w:rsidP="004F6C01"/>
          <w:p w14:paraId="5CFAE5B2" w14:textId="77777777" w:rsidR="004F6C01" w:rsidRDefault="004F6C01" w:rsidP="004F6C01"/>
          <w:p w14:paraId="204AC66B" w14:textId="77777777" w:rsidR="004F6C01" w:rsidRDefault="004F6C01" w:rsidP="004F6C01"/>
          <w:p w14:paraId="7C5ACA23" w14:textId="6FAAA7CC" w:rsidR="004F6C01" w:rsidRPr="005E2AD9" w:rsidRDefault="004F6C01" w:rsidP="004F6C01">
            <w:r>
              <w:t>8 pāri</w:t>
            </w:r>
          </w:p>
        </w:tc>
        <w:tc>
          <w:tcPr>
            <w:tcW w:w="1275" w:type="dxa"/>
          </w:tcPr>
          <w:p w14:paraId="2A931D05" w14:textId="77777777" w:rsidR="004F6C01" w:rsidRPr="005E2AD9" w:rsidRDefault="004F6C01" w:rsidP="004F6C01"/>
        </w:tc>
      </w:tr>
      <w:tr w:rsidR="00723CA7" w14:paraId="34904AE3" w14:textId="77777777" w:rsidTr="004F6C01">
        <w:tc>
          <w:tcPr>
            <w:tcW w:w="943" w:type="dxa"/>
          </w:tcPr>
          <w:p w14:paraId="52A2EDED" w14:textId="77777777" w:rsidR="00723CA7" w:rsidRDefault="00723CA7" w:rsidP="004F6C01">
            <w:pPr>
              <w:jc w:val="center"/>
            </w:pPr>
          </w:p>
        </w:tc>
        <w:tc>
          <w:tcPr>
            <w:tcW w:w="2346" w:type="dxa"/>
          </w:tcPr>
          <w:p w14:paraId="4F8E89AB" w14:textId="77777777" w:rsidR="00723CA7" w:rsidRDefault="00723CA7" w:rsidP="004F6C01">
            <w:pPr>
              <w:jc w:val="center"/>
            </w:pPr>
          </w:p>
        </w:tc>
        <w:tc>
          <w:tcPr>
            <w:tcW w:w="4435" w:type="dxa"/>
          </w:tcPr>
          <w:p w14:paraId="2A444688" w14:textId="77777777" w:rsidR="00723CA7" w:rsidRDefault="00723CA7" w:rsidP="004F6C01">
            <w:pPr>
              <w:jc w:val="both"/>
              <w:rPr>
                <w:bCs/>
              </w:rPr>
            </w:pPr>
          </w:p>
        </w:tc>
        <w:tc>
          <w:tcPr>
            <w:tcW w:w="1633" w:type="dxa"/>
          </w:tcPr>
          <w:p w14:paraId="185287FB" w14:textId="62485675" w:rsidR="00723CA7" w:rsidRPr="00723CA7" w:rsidRDefault="00723CA7" w:rsidP="00723CA7">
            <w:pPr>
              <w:jc w:val="right"/>
              <w:rPr>
                <w:b/>
                <w:bCs/>
                <w:sz w:val="32"/>
                <w:szCs w:val="32"/>
              </w:rPr>
            </w:pPr>
            <w:r w:rsidRPr="00723CA7">
              <w:rPr>
                <w:b/>
                <w:bCs/>
                <w:sz w:val="32"/>
                <w:szCs w:val="32"/>
              </w:rPr>
              <w:t>Kopā:</w:t>
            </w:r>
          </w:p>
        </w:tc>
        <w:tc>
          <w:tcPr>
            <w:tcW w:w="1275" w:type="dxa"/>
          </w:tcPr>
          <w:p w14:paraId="313760FB" w14:textId="77777777" w:rsidR="00723CA7" w:rsidRPr="005E2AD9" w:rsidRDefault="00723CA7" w:rsidP="004F6C01"/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45935749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6712F3">
        <w:rPr>
          <w:rFonts w:eastAsia="Times New Roman"/>
          <w:b/>
          <w:lang w:eastAsia="en-US"/>
        </w:rPr>
        <w:t>15</w:t>
      </w:r>
      <w:r w:rsidR="007E5861" w:rsidRPr="00064787">
        <w:rPr>
          <w:rFonts w:eastAsia="Times New Roman"/>
          <w:b/>
          <w:lang w:eastAsia="en-US"/>
        </w:rPr>
        <w:t>.</w:t>
      </w:r>
      <w:r w:rsidR="006712F3">
        <w:rPr>
          <w:rFonts w:eastAsia="Times New Roman"/>
          <w:b/>
          <w:lang w:eastAsia="en-US"/>
        </w:rPr>
        <w:t>august</w:t>
      </w:r>
      <w:r w:rsidR="00064787" w:rsidRPr="00064787">
        <w:rPr>
          <w:rFonts w:eastAsia="Times New Roman"/>
          <w:b/>
          <w:lang w:eastAsia="en-US"/>
        </w:rPr>
        <w:t>am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46A00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3F6C49"/>
    <w:rsid w:val="004711DF"/>
    <w:rsid w:val="004F6C01"/>
    <w:rsid w:val="00581146"/>
    <w:rsid w:val="005A6464"/>
    <w:rsid w:val="005C6DA2"/>
    <w:rsid w:val="005E0A84"/>
    <w:rsid w:val="006169C7"/>
    <w:rsid w:val="006712F3"/>
    <w:rsid w:val="00723CA7"/>
    <w:rsid w:val="00732EF5"/>
    <w:rsid w:val="00761040"/>
    <w:rsid w:val="007E5861"/>
    <w:rsid w:val="00812D95"/>
    <w:rsid w:val="008323C8"/>
    <w:rsid w:val="00850EC5"/>
    <w:rsid w:val="00985D98"/>
    <w:rsid w:val="009D5F14"/>
    <w:rsid w:val="00A10BFB"/>
    <w:rsid w:val="00A16E2D"/>
    <w:rsid w:val="00A35234"/>
    <w:rsid w:val="00A64185"/>
    <w:rsid w:val="00A77ACD"/>
    <w:rsid w:val="00AB7CEC"/>
    <w:rsid w:val="00B4165F"/>
    <w:rsid w:val="00B517A0"/>
    <w:rsid w:val="00C71C1B"/>
    <w:rsid w:val="00CB30FF"/>
    <w:rsid w:val="00D051FA"/>
    <w:rsid w:val="00D14322"/>
    <w:rsid w:val="00DA7296"/>
    <w:rsid w:val="00E10009"/>
    <w:rsid w:val="00E42065"/>
    <w:rsid w:val="00E46E2E"/>
    <w:rsid w:val="00E542B2"/>
    <w:rsid w:val="00E932E2"/>
    <w:rsid w:val="00E94527"/>
    <w:rsid w:val="00E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F6C49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F6C4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3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3880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16</cp:revision>
  <cp:lastPrinted>2021-06-30T09:37:00Z</cp:lastPrinted>
  <dcterms:created xsi:type="dcterms:W3CDTF">2018-07-24T11:08:00Z</dcterms:created>
  <dcterms:modified xsi:type="dcterms:W3CDTF">2021-06-30T09:37:00Z</dcterms:modified>
</cp:coreProperties>
</file>