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5E0568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E4430E">
        <w:rPr>
          <w:rFonts w:eastAsia="Times New Roman"/>
          <w:bCs/>
          <w:lang w:eastAsia="ar-SA"/>
        </w:rPr>
        <w:t>2.novembrī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  <w:bookmarkStart w:id="0" w:name="_GoBack"/>
      <w:bookmarkEnd w:id="0"/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</w:t>
      </w:r>
      <w:proofErr w:type="spellStart"/>
      <w:r w:rsidR="002C1FEC">
        <w:rPr>
          <w:rFonts w:eastAsia="Times New Roman"/>
          <w:lang w:eastAsia="en-US"/>
        </w:rPr>
        <w:t>zemsliekšņu</w:t>
      </w:r>
      <w:proofErr w:type="spellEnd"/>
      <w:r w:rsidR="002C1FEC">
        <w:rPr>
          <w:rFonts w:eastAsia="Times New Roman"/>
          <w:lang w:eastAsia="en-US"/>
        </w:rPr>
        <w:t xml:space="preserve"> iepirkumā</w:t>
      </w:r>
      <w:r w:rsidRPr="00CF1BEC">
        <w:rPr>
          <w:rFonts w:eastAsia="Times New Roman"/>
          <w:lang w:eastAsia="en-US"/>
        </w:rPr>
        <w:t xml:space="preserve"> </w:t>
      </w:r>
    </w:p>
    <w:p w:rsidR="00E4430E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E4430E">
        <w:rPr>
          <w:rFonts w:eastAsia="Times New Roman"/>
          <w:b/>
          <w:bCs/>
          <w:lang w:eastAsia="en-US"/>
        </w:rPr>
        <w:t xml:space="preserve">LR Proklamēšanas dienai veltītās </w:t>
      </w:r>
    </w:p>
    <w:p w:rsidR="00763752" w:rsidRDefault="0076471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uguņošanas realizācija</w:t>
      </w:r>
      <w:r w:rsidR="00763752" w:rsidRPr="00CF1BEC">
        <w:rPr>
          <w:rFonts w:eastAsia="Times New Roman"/>
          <w:b/>
          <w:bCs/>
          <w:lang w:eastAsia="en-US"/>
        </w:rPr>
        <w:t>”</w:t>
      </w:r>
    </w:p>
    <w:p w:rsidR="00125B58" w:rsidRDefault="00125B58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EF2D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Juriskonsulte Mārīte Jukša, tālr.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="0076471E">
        <w:rPr>
          <w:rFonts w:eastAsia="Times New Roman"/>
          <w:b/>
          <w:bCs/>
          <w:lang w:eastAsia="en-US"/>
        </w:rPr>
        <w:t>svētku uguņošana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="00D701F0">
        <w:rPr>
          <w:rFonts w:eastAsia="Times New Roman"/>
          <w:b/>
        </w:rPr>
        <w:t>Tehniskajā specifikācijā (P</w:t>
      </w:r>
      <w:r w:rsidRPr="00AE0BBE">
        <w:rPr>
          <w:rFonts w:eastAsia="Times New Roman"/>
          <w:b/>
        </w:rPr>
        <w:t>ielikums Nr.1)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Sarakstarindkopa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603DAD">
        <w:rPr>
          <w:rFonts w:eastAsia="Times New Roman"/>
          <w:bCs/>
          <w:lang w:eastAsia="en-US"/>
        </w:rPr>
        <w:t>(Pielikums nr. 2)</w:t>
      </w:r>
      <w:r w:rsidR="002C1FEC">
        <w:rPr>
          <w:rFonts w:eastAsia="Times New Roman"/>
          <w:bCs/>
          <w:lang w:eastAsia="en-US"/>
        </w:rPr>
        <w:t>;</w:t>
      </w:r>
    </w:p>
    <w:p w:rsidR="002C1FEC" w:rsidRPr="002C1FEC" w:rsidRDefault="002C1FEC" w:rsidP="002C1FEC">
      <w:pPr>
        <w:pStyle w:val="Sarakstarindkopa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Pirotehnisko pakalpojumu sniegšanas speciālās atļaujas (atbilstoši 22.03.2011. MK noteikumiem Nr. 214) kopija;</w:t>
      </w:r>
    </w:p>
    <w:p w:rsidR="00AF48B0" w:rsidRDefault="00AF48B0" w:rsidP="002C1FEC">
      <w:pPr>
        <w:pStyle w:val="Sarakstarindkopa"/>
        <w:numPr>
          <w:ilvl w:val="0"/>
          <w:numId w:val="8"/>
        </w:numPr>
        <w:spacing w:after="120" w:line="276" w:lineRule="auto"/>
        <w:ind w:hanging="7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Pretendenta civiltiesiskās atbildības apdrošināšanas polises kopija</w:t>
      </w:r>
      <w:r w:rsidR="002C1FEC">
        <w:rPr>
          <w:rFonts w:eastAsia="Times New Roman"/>
          <w:bCs/>
          <w:lang w:eastAsia="en-US"/>
        </w:rPr>
        <w:t>.</w:t>
      </w:r>
    </w:p>
    <w:p w:rsidR="0076471E" w:rsidRDefault="0076471E" w:rsidP="00D701F0">
      <w:pPr>
        <w:pStyle w:val="Sarakstarindkopa"/>
        <w:spacing w:after="120" w:line="276" w:lineRule="auto"/>
        <w:ind w:left="0"/>
        <w:jc w:val="both"/>
        <w:rPr>
          <w:rFonts w:eastAsia="Times New Roman"/>
          <w:bCs/>
          <w:lang w:eastAsia="en-US"/>
        </w:rPr>
      </w:pPr>
    </w:p>
    <w:p w:rsidR="00AE0BBE" w:rsidRPr="00D701F0" w:rsidRDefault="00763752" w:rsidP="00AE0BBE">
      <w:pPr>
        <w:pStyle w:val="Sarakstarindkopa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D701F0">
        <w:rPr>
          <w:rFonts w:eastAsia="Times New Roman"/>
          <w:bCs/>
          <w:lang w:eastAsia="en-US"/>
        </w:rPr>
        <w:t>P</w:t>
      </w:r>
      <w:r w:rsidR="00902922">
        <w:rPr>
          <w:rFonts w:eastAsia="Times New Roman"/>
          <w:bCs/>
          <w:lang w:eastAsia="en-US"/>
        </w:rPr>
        <w:t>iedāvājums iesniedzams līdz 2018</w:t>
      </w:r>
      <w:r w:rsidRPr="00D701F0">
        <w:rPr>
          <w:rFonts w:eastAsia="Times New Roman"/>
          <w:bCs/>
          <w:lang w:eastAsia="en-US"/>
        </w:rPr>
        <w:t xml:space="preserve">.gada </w:t>
      </w:r>
      <w:r w:rsidR="00A31F46">
        <w:rPr>
          <w:rFonts w:eastAsia="Times New Roman"/>
          <w:bCs/>
          <w:lang w:eastAsia="en-US"/>
        </w:rPr>
        <w:t>8</w:t>
      </w:r>
      <w:r w:rsidR="00E4430E">
        <w:rPr>
          <w:rFonts w:eastAsia="Times New Roman"/>
          <w:bCs/>
          <w:lang w:eastAsia="en-US"/>
        </w:rPr>
        <w:t>.novembra</w:t>
      </w:r>
      <w:r w:rsidR="00D701F0" w:rsidRPr="00D701F0">
        <w:rPr>
          <w:rFonts w:eastAsia="Times New Roman"/>
          <w:bCs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>, plkst.</w:t>
      </w:r>
      <w:r w:rsidR="003772AE" w:rsidRPr="00D701F0">
        <w:rPr>
          <w:rFonts w:eastAsia="Times New Roman"/>
          <w:bCs/>
          <w:lang w:eastAsia="en-US"/>
        </w:rPr>
        <w:t>1</w:t>
      </w:r>
      <w:r w:rsidR="00125B58">
        <w:rPr>
          <w:rFonts w:eastAsia="Times New Roman"/>
          <w:bCs/>
          <w:lang w:eastAsia="en-US"/>
        </w:rPr>
        <w:t>2</w:t>
      </w:r>
      <w:r w:rsidR="00D701F0" w:rsidRPr="00D701F0">
        <w:rPr>
          <w:rFonts w:eastAsia="Times New Roman"/>
          <w:bCs/>
          <w:lang w:eastAsia="en-US"/>
        </w:rPr>
        <w:t>.</w:t>
      </w:r>
      <w:r w:rsidRPr="00D701F0">
        <w:rPr>
          <w:rFonts w:eastAsia="Times New Roman"/>
          <w:bCs/>
          <w:lang w:eastAsia="en-US"/>
        </w:rPr>
        <w:t>00</w:t>
      </w:r>
      <w:r w:rsidRPr="00D701F0">
        <w:rPr>
          <w:rFonts w:eastAsia="Times New Roman"/>
          <w:bCs/>
          <w:color w:val="FF0000"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>uz e-pastu:</w:t>
      </w:r>
      <w:r w:rsidRPr="00AE0BBE">
        <w:rPr>
          <w:rFonts w:eastAsia="Times New Roman"/>
          <w:b/>
          <w:bCs/>
          <w:lang w:eastAsia="en-US"/>
        </w:rPr>
        <w:t xml:space="preserve"> </w:t>
      </w:r>
      <w:hyperlink r:id="rId8" w:history="1">
        <w:r w:rsidRPr="00AE0BBE">
          <w:rPr>
            <w:rStyle w:val="Hipersaite"/>
            <w:rFonts w:eastAsia="Times New Roman"/>
            <w:b/>
            <w:bCs/>
            <w:lang w:eastAsia="en-US"/>
          </w:rPr>
          <w:t>Marite.juksa@daugavpils.lv</w:t>
        </w:r>
      </w:hyperlink>
      <w:r w:rsidR="00D701F0">
        <w:rPr>
          <w:rFonts w:eastAsia="Times New Roman"/>
          <w:b/>
          <w:bCs/>
          <w:lang w:eastAsia="en-US"/>
        </w:rPr>
        <w:t xml:space="preserve"> </w:t>
      </w:r>
      <w:r w:rsidR="00D701F0" w:rsidRPr="00D701F0">
        <w:rPr>
          <w:rFonts w:eastAsia="Times New Roman"/>
          <w:bCs/>
          <w:lang w:eastAsia="en-US"/>
        </w:rPr>
        <w:t xml:space="preserve">vai personīgi Kultūras pārvaldē, </w:t>
      </w:r>
      <w:proofErr w:type="spellStart"/>
      <w:r w:rsidR="00D701F0" w:rsidRPr="00D701F0">
        <w:rPr>
          <w:rFonts w:eastAsia="Times New Roman"/>
          <w:bCs/>
          <w:lang w:eastAsia="en-US"/>
        </w:rPr>
        <w:t>Kr.Valdemāra</w:t>
      </w:r>
      <w:proofErr w:type="spellEnd"/>
      <w:r w:rsidR="00D701F0" w:rsidRPr="00D701F0">
        <w:rPr>
          <w:rFonts w:eastAsia="Times New Roman"/>
          <w:bCs/>
          <w:lang w:eastAsia="en-US"/>
        </w:rPr>
        <w:t xml:space="preserve"> iela 13, Daugavpils</w:t>
      </w:r>
    </w:p>
    <w:p w:rsidR="00FD1E83" w:rsidRPr="00FD1E83" w:rsidRDefault="00FD1E83" w:rsidP="00AE0BBE">
      <w:pPr>
        <w:pStyle w:val="Sarakstarindkopa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D701F0" w:rsidRDefault="00763752" w:rsidP="00AE0BBE">
      <w:pPr>
        <w:pStyle w:val="Sarakstarindkopa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</w:t>
      </w:r>
      <w:r w:rsidRPr="00D701F0">
        <w:rPr>
          <w:rFonts w:eastAsia="Times New Roman"/>
          <w:bCs/>
          <w:lang w:eastAsia="en-US"/>
        </w:rPr>
        <w:t xml:space="preserve">Paziņojums par rezultātiem tiks publicēts Kultūras pārvaldes mājas lapā www.kultura.daugavpils.lv   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Default="00052BBC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 (Pielikums Nr. 1)</w:t>
      </w:r>
    </w:p>
    <w:p w:rsidR="00052BBC" w:rsidRDefault="00052BBC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Finanšu- tehniskais piedāvājums (Pielikums Nr. 2)</w:t>
      </w:r>
    </w:p>
    <w:p w:rsidR="00052BBC" w:rsidRDefault="00052BBC" w:rsidP="00052BBC">
      <w:pPr>
        <w:rPr>
          <w:rFonts w:eastAsia="Times New Roman"/>
          <w:lang w:eastAsia="ar-SA"/>
        </w:rPr>
      </w:pPr>
    </w:p>
    <w:p w:rsidR="00763752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9C34EC" w:rsidRDefault="00845FE6" w:rsidP="00845FE6">
      <w:pPr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>
        <w:rPr>
          <w:rFonts w:eastAsia="Times New Roman"/>
          <w:b/>
          <w:lang w:eastAsia="ar-SA"/>
        </w:rPr>
        <w:lastRenderedPageBreak/>
        <w:t>Pielikums Nr. 1</w:t>
      </w:r>
    </w:p>
    <w:p w:rsidR="00845FE6" w:rsidRDefault="00845FE6" w:rsidP="00845FE6">
      <w:pPr>
        <w:rPr>
          <w:rFonts w:eastAsia="Times New Roman"/>
          <w:b/>
          <w:lang w:eastAsia="ar-SA"/>
        </w:rPr>
      </w:pPr>
    </w:p>
    <w:p w:rsidR="00510161" w:rsidRDefault="00510161" w:rsidP="00510161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Tehniskā specifikācija </w:t>
      </w:r>
      <w:proofErr w:type="spellStart"/>
      <w:r>
        <w:rPr>
          <w:rFonts w:eastAsia="Times New Roman"/>
          <w:b/>
          <w:bCs/>
          <w:lang w:eastAsia="en-US"/>
        </w:rPr>
        <w:t>zemsliekšņa</w:t>
      </w:r>
      <w:proofErr w:type="spellEnd"/>
      <w:r>
        <w:rPr>
          <w:rFonts w:eastAsia="Times New Roman"/>
          <w:b/>
          <w:bCs/>
          <w:lang w:eastAsia="en-US"/>
        </w:rPr>
        <w:t xml:space="preserve"> iepirkumam </w:t>
      </w:r>
    </w:p>
    <w:p w:rsidR="002C1FEC" w:rsidRDefault="002C1FEC" w:rsidP="002C1FEC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E4430E">
        <w:rPr>
          <w:rFonts w:eastAsia="Times New Roman"/>
          <w:b/>
          <w:bCs/>
          <w:lang w:eastAsia="en-US"/>
        </w:rPr>
        <w:t>LR Proklamēšanas dienai</w:t>
      </w:r>
      <w:r>
        <w:rPr>
          <w:rFonts w:eastAsia="Times New Roman"/>
          <w:b/>
          <w:bCs/>
          <w:lang w:eastAsia="en-US"/>
        </w:rPr>
        <w:t xml:space="preserve"> </w:t>
      </w:r>
      <w:r w:rsidR="00E4430E">
        <w:rPr>
          <w:rFonts w:eastAsia="Times New Roman"/>
          <w:b/>
          <w:bCs/>
          <w:lang w:eastAsia="en-US"/>
        </w:rPr>
        <w:t xml:space="preserve">veltītās </w:t>
      </w:r>
      <w:r>
        <w:rPr>
          <w:rFonts w:eastAsia="Times New Roman"/>
          <w:b/>
          <w:bCs/>
          <w:lang w:eastAsia="en-US"/>
        </w:rPr>
        <w:t>uguņošanas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263790" w:rsidRDefault="00263790" w:rsidP="00510161">
      <w:pPr>
        <w:jc w:val="center"/>
        <w:rPr>
          <w:rFonts w:eastAsia="Times New Roman"/>
          <w:b/>
          <w:bCs/>
          <w:lang w:eastAsia="en-US"/>
        </w:rPr>
      </w:pPr>
    </w:p>
    <w:bookmarkEnd w:id="1"/>
    <w:bookmarkEnd w:id="2"/>
    <w:p w:rsidR="0077758F" w:rsidRDefault="0077758F" w:rsidP="00845FE6">
      <w:pPr>
        <w:rPr>
          <w:rFonts w:eastAsia="Times New Roman"/>
          <w:b/>
          <w:lang w:eastAsia="ar-SA"/>
        </w:rPr>
      </w:pPr>
    </w:p>
    <w:p w:rsidR="00182B46" w:rsidRPr="00A31F46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A31F46">
        <w:rPr>
          <w:rFonts w:eastAsia="Times New Roman"/>
        </w:rPr>
        <w:t>1. Veikt Pasūtītāja vēlmēm atbilstošu uguņošanas šovu  audio pavadījumā a</w:t>
      </w:r>
      <w:r w:rsidR="002C1FEC" w:rsidRPr="00A31F46">
        <w:rPr>
          <w:rFonts w:eastAsia="Times New Roman"/>
        </w:rPr>
        <w:t>pm. 6 min. garumā saskaņā ar</w:t>
      </w:r>
      <w:r w:rsidRPr="00A31F46">
        <w:rPr>
          <w:rFonts w:eastAsia="Times New Roman"/>
        </w:rPr>
        <w:t xml:space="preserve"> pielikumā  norādīto šāviņu kalibru skaitu  </w:t>
      </w:r>
      <w:r w:rsidR="002C1FEC" w:rsidRPr="00A31F46">
        <w:rPr>
          <w:rFonts w:eastAsia="Times New Roman"/>
        </w:rPr>
        <w:t xml:space="preserve">2018.gada </w:t>
      </w:r>
      <w:r w:rsidR="00E4430E" w:rsidRPr="00A31F46">
        <w:rPr>
          <w:rFonts w:eastAsia="Times New Roman"/>
        </w:rPr>
        <w:t>18.novembrī</w:t>
      </w:r>
      <w:r w:rsidR="002C1FEC" w:rsidRPr="00A31F46">
        <w:rPr>
          <w:rFonts w:eastAsia="Times New Roman"/>
        </w:rPr>
        <w:t xml:space="preserve"> </w:t>
      </w:r>
      <w:r w:rsidRPr="00A31F46">
        <w:rPr>
          <w:rFonts w:eastAsia="Times New Roman"/>
        </w:rPr>
        <w:t xml:space="preserve">plkst. </w:t>
      </w:r>
      <w:r w:rsidR="00E4430E" w:rsidRPr="00A31F46">
        <w:rPr>
          <w:rFonts w:eastAsia="Times New Roman"/>
        </w:rPr>
        <w:t>21.15</w:t>
      </w:r>
      <w:r w:rsidRPr="00A31F46">
        <w:rPr>
          <w:rFonts w:eastAsia="Times New Roman"/>
        </w:rPr>
        <w:t xml:space="preserve">     </w:t>
      </w:r>
    </w:p>
    <w:p w:rsidR="00182B46" w:rsidRPr="00A31F46" w:rsidRDefault="00E34A79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A31F46">
        <w:rPr>
          <w:rFonts w:eastAsia="Times New Roman"/>
        </w:rPr>
        <w:t xml:space="preserve">2. Pirotehnikas izvērsumam </w:t>
      </w:r>
      <w:r w:rsidR="00182B46" w:rsidRPr="00A31F46">
        <w:rPr>
          <w:rFonts w:eastAsia="Times New Roman"/>
        </w:rPr>
        <w:t>jābūt vismaz 280 –320  m starp galējiem punktiem (11 izvietojuma pozīcijas);</w:t>
      </w:r>
    </w:p>
    <w:p w:rsidR="00182B46" w:rsidRPr="00A31F46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A31F46">
        <w:rPr>
          <w:rFonts w:eastAsia="Times New Roman"/>
        </w:rPr>
        <w:t>3. Minimālais pozīciju skaits, kas darbojas vienlaicīgi vismaz 5;</w:t>
      </w:r>
    </w:p>
    <w:p w:rsidR="00E4430E" w:rsidRPr="00A31F46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A31F46">
        <w:rPr>
          <w:rFonts w:eastAsia="Times New Roman"/>
        </w:rPr>
        <w:t>4. Šovu digitāli sinhronizēt ar  muzikālo materiālu u</w:t>
      </w:r>
      <w:r w:rsidR="002C1FEC" w:rsidRPr="00A31F46">
        <w:rPr>
          <w:rFonts w:eastAsia="Times New Roman"/>
        </w:rPr>
        <w:t>n gaismas ierīcēm norises laikā</w:t>
      </w:r>
      <w:r w:rsidRPr="00A31F46">
        <w:rPr>
          <w:rFonts w:eastAsia="Times New Roman"/>
        </w:rPr>
        <w:t xml:space="preserve">. Mūzika –  pievienots digitāls fails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 5. Izveidot kustīgu uguņošanas </w:t>
      </w:r>
      <w:proofErr w:type="spellStart"/>
      <w:r w:rsidRPr="00EF2DA8">
        <w:rPr>
          <w:rFonts w:eastAsia="Times New Roman"/>
        </w:rPr>
        <w:t>vizualizāciju</w:t>
      </w:r>
      <w:proofErr w:type="spellEnd"/>
      <w:r w:rsidRPr="00EF2DA8">
        <w:rPr>
          <w:rFonts w:eastAsia="Times New Roman"/>
        </w:rPr>
        <w:t xml:space="preserve"> uz reālās vides fona (Daugavpils akvatorija teritorija un apbūve) digitālā video failā, atbilstoši kalibru daudzumam, </w:t>
      </w:r>
      <w:r w:rsidR="00E34A79">
        <w:rPr>
          <w:rFonts w:eastAsia="Times New Roman"/>
        </w:rPr>
        <w:t>saturam un aktivizācijas laikam</w:t>
      </w:r>
      <w:r w:rsidRPr="00EF2DA8">
        <w:rPr>
          <w:rFonts w:eastAsia="Times New Roman"/>
        </w:rPr>
        <w:t xml:space="preserve">,  kopā ar muzikālo   skaņdarbu un iesniegt to ar pieteikumu iepirkumam.  Uguņošanas </w:t>
      </w:r>
      <w:proofErr w:type="spellStart"/>
      <w:r w:rsidRPr="00EF2DA8">
        <w:rPr>
          <w:rFonts w:eastAsia="Times New Roman"/>
        </w:rPr>
        <w:t>vizualizācija</w:t>
      </w:r>
      <w:proofErr w:type="spellEnd"/>
      <w:r w:rsidRPr="00EF2DA8">
        <w:rPr>
          <w:rFonts w:eastAsia="Times New Roman"/>
        </w:rPr>
        <w:t xml:space="preserve"> jāiesniedz vienlaikus ar pieteikumu digitālā formā uz DVD matricas vai cita datu nesēja. 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6. Izveidot šovu atbilstoši muzikālā materiāla dinamikai un saturam un iesniegt detalizētu hronometrāžu (pievienota rakstveida hronometrāža ar izstrādājumu nosaukumiem un kalibriem (ja analogi aizstājēji, tad specifikācijas izstrādājumiem);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7. Piedāvājuma neatņemama sastāvdaļa ir programmnodrošinājuma atspoguļojums.</w:t>
      </w:r>
    </w:p>
    <w:p w:rsidR="00E4430E" w:rsidRDefault="00182B46" w:rsidP="00182B46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F2DA8">
        <w:rPr>
          <w:rFonts w:eastAsia="Times New Roman"/>
        </w:rPr>
        <w:t xml:space="preserve"> 8. Šovu paredzēts veikt no </w:t>
      </w:r>
      <w:r w:rsidRPr="00EF2DA8">
        <w:rPr>
          <w:lang w:eastAsia="en-US"/>
        </w:rPr>
        <w:t xml:space="preserve">Daugavas </w:t>
      </w:r>
      <w:r w:rsidR="00E4430E">
        <w:rPr>
          <w:lang w:eastAsia="en-US"/>
        </w:rPr>
        <w:t>krasta</w:t>
      </w:r>
      <w:r w:rsidRPr="00EF2DA8">
        <w:rPr>
          <w:lang w:eastAsia="en-US"/>
        </w:rPr>
        <w:t xml:space="preserve">  starp</w:t>
      </w:r>
      <w:r w:rsidR="00E34A79">
        <w:rPr>
          <w:lang w:eastAsia="en-US"/>
        </w:rPr>
        <w:t xml:space="preserve"> Vienības un dzelzceļa</w:t>
      </w:r>
      <w:r w:rsidR="00E4430E">
        <w:rPr>
          <w:lang w:eastAsia="en-US"/>
        </w:rPr>
        <w:t xml:space="preserve"> tiltiem.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>9.    Savlaicīgi saskaņot ar VUGD uguņošanā izmantojamo pirotehnikas materiālu sarakstu un darbības plānu.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10. Nodrošināt uzvedumā izmantoto izteiksmes līdzekļu (gaisma, skaņa, pirotehnika) digitālu sinhronizāciju ar precizitāti vismaz 25 </w:t>
      </w:r>
      <w:proofErr w:type="spellStart"/>
      <w:r w:rsidRPr="00EF2DA8">
        <w:rPr>
          <w:rFonts w:eastAsia="Times New Roman"/>
        </w:rPr>
        <w:t>fps</w:t>
      </w:r>
      <w:proofErr w:type="spellEnd"/>
      <w:r w:rsidRPr="00EF2DA8">
        <w:rPr>
          <w:rFonts w:eastAsia="Times New Roman"/>
        </w:rPr>
        <w:t xml:space="preserve">, kas jāiesniedz digitālā formā.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>11. Uguņošanas šova norise filmējama ar sertificētu k</w:t>
      </w:r>
      <w:r w:rsidR="00E4430E">
        <w:rPr>
          <w:rFonts w:eastAsia="Times New Roman"/>
        </w:rPr>
        <w:t>ameru, ko nodrošina pretendents.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12. Pasūtītājs  nodrošina uguņošanas lādiņu uzskaiti pēc to uzstādīšanas pirms uguņošanas, sastādot par to aktu ar izpildītāja pārstāvi. </w:t>
      </w:r>
    </w:p>
    <w:p w:rsidR="00182B46" w:rsidRPr="00EF2DA8" w:rsidRDefault="00182B46" w:rsidP="00182B46">
      <w:pPr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</w:rPr>
      </w:pPr>
      <w:r w:rsidRPr="00EF2DA8">
        <w:rPr>
          <w:rFonts w:eastAsia="Times New Roman"/>
        </w:rPr>
        <w:t xml:space="preserve">13. Pretendents nodrošina ne vēlāk kā 10 dienu laikā Pasūtītājam iesniegt nofilmētā materiāla un </w:t>
      </w:r>
      <w:proofErr w:type="spellStart"/>
      <w:r w:rsidRPr="00EF2DA8">
        <w:rPr>
          <w:rFonts w:eastAsia="Times New Roman"/>
        </w:rPr>
        <w:t>vizualizācijas</w:t>
      </w:r>
      <w:proofErr w:type="spellEnd"/>
      <w:r w:rsidRPr="00EF2DA8">
        <w:rPr>
          <w:rFonts w:eastAsia="Times New Roman"/>
        </w:rPr>
        <w:t xml:space="preserve"> salīdzinājumu izskatīšanai un izvērtēšanai.   </w:t>
      </w:r>
    </w:p>
    <w:p w:rsidR="00125B58" w:rsidRDefault="00125B58" w:rsidP="00845FE6">
      <w:pPr>
        <w:rPr>
          <w:rFonts w:eastAsia="Times New Roman"/>
          <w:b/>
          <w:lang w:eastAsia="ar-SA"/>
        </w:rPr>
      </w:pPr>
    </w:p>
    <w:p w:rsidR="00EF2DA8" w:rsidRDefault="00EF2DA8" w:rsidP="00845FE6">
      <w:pPr>
        <w:rPr>
          <w:rFonts w:eastAsia="Times New Roman"/>
          <w:lang w:eastAsia="ar-SA"/>
        </w:rPr>
      </w:pPr>
      <w:r w:rsidRPr="00EF2DA8">
        <w:rPr>
          <w:rFonts w:eastAsia="Times New Roman"/>
          <w:lang w:eastAsia="ar-SA"/>
        </w:rPr>
        <w:t>Uguņošanā izmantojamais kalibru skaits</w:t>
      </w:r>
    </w:p>
    <w:p w:rsidR="00E4430E" w:rsidRDefault="00E4430E" w:rsidP="00845FE6">
      <w:pPr>
        <w:rPr>
          <w:rFonts w:eastAsia="Times New Roman"/>
          <w:lang w:eastAsia="ar-SA"/>
        </w:rPr>
      </w:pP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2493"/>
        <w:gridCol w:w="2025"/>
      </w:tblGrid>
      <w:tr w:rsidR="00E4430E" w:rsidRPr="00EF2DA8" w:rsidTr="00680B60">
        <w:tc>
          <w:tcPr>
            <w:tcW w:w="2493" w:type="dxa"/>
          </w:tcPr>
          <w:p w:rsidR="00E4430E" w:rsidRPr="00EF2DA8" w:rsidRDefault="00E4430E" w:rsidP="00680B60">
            <w:pPr>
              <w:keepLines/>
              <w:widowControl w:val="0"/>
              <w:suppressAutoHyphens/>
              <w:jc w:val="both"/>
              <w:rPr>
                <w:rFonts w:eastAsia="Times New Roman"/>
                <w:i/>
                <w:lang w:eastAsia="ar-SA"/>
              </w:rPr>
            </w:pPr>
            <w:r w:rsidRPr="00EF2DA8">
              <w:rPr>
                <w:rFonts w:eastAsia="Times New Roman"/>
                <w:i/>
                <w:lang w:eastAsia="ar-SA"/>
              </w:rPr>
              <w:t>Kalibrs</w:t>
            </w:r>
          </w:p>
        </w:tc>
        <w:tc>
          <w:tcPr>
            <w:tcW w:w="2025" w:type="dxa"/>
          </w:tcPr>
          <w:p w:rsidR="00E4430E" w:rsidRPr="00EF2DA8" w:rsidRDefault="00E4430E" w:rsidP="00680B60">
            <w:pPr>
              <w:keepLines/>
              <w:widowControl w:val="0"/>
              <w:suppressAutoHyphens/>
              <w:jc w:val="both"/>
              <w:rPr>
                <w:rFonts w:eastAsia="Times New Roman"/>
                <w:i/>
                <w:lang w:eastAsia="ar-SA"/>
              </w:rPr>
            </w:pPr>
            <w:r w:rsidRPr="00EF2DA8">
              <w:rPr>
                <w:rFonts w:eastAsia="Times New Roman"/>
                <w:i/>
                <w:lang w:eastAsia="ar-SA"/>
              </w:rPr>
              <w:t>Skaits</w:t>
            </w:r>
          </w:p>
        </w:tc>
      </w:tr>
      <w:tr w:rsidR="00E4430E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25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414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28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694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30 mm (</w:t>
            </w:r>
            <w:proofErr w:type="spellStart"/>
            <w:r w:rsidRPr="003769C5">
              <w:t>Single</w:t>
            </w:r>
            <w:proofErr w:type="spellEnd"/>
            <w:r w:rsidRPr="003769C5">
              <w:t xml:space="preserve"> </w:t>
            </w:r>
            <w:proofErr w:type="spellStart"/>
            <w:r w:rsidRPr="003769C5">
              <w:t>Shoots</w:t>
            </w:r>
            <w:proofErr w:type="spellEnd"/>
            <w:r w:rsidRPr="003769C5">
              <w:t>)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112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32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665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45 mm (</w:t>
            </w:r>
            <w:proofErr w:type="spellStart"/>
            <w:r w:rsidRPr="003769C5">
              <w:t>Single</w:t>
            </w:r>
            <w:proofErr w:type="spellEnd"/>
            <w:r w:rsidRPr="003769C5">
              <w:t xml:space="preserve"> </w:t>
            </w:r>
            <w:proofErr w:type="spellStart"/>
            <w:r w:rsidRPr="003769C5">
              <w:t>Shoots</w:t>
            </w:r>
            <w:proofErr w:type="spellEnd"/>
            <w:r w:rsidRPr="003769C5">
              <w:t>)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33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65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48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75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100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100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148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Pr="003769C5" w:rsidRDefault="00E4430E" w:rsidP="00805E91">
            <w:r w:rsidRPr="003769C5">
              <w:t>125 mm</w:t>
            </w:r>
          </w:p>
        </w:tc>
        <w:tc>
          <w:tcPr>
            <w:tcW w:w="2025" w:type="dxa"/>
          </w:tcPr>
          <w:p w:rsidR="00E4430E" w:rsidRPr="00D35DCE" w:rsidRDefault="00E4430E" w:rsidP="003965FD">
            <w:r w:rsidRPr="00D35DCE">
              <w:t>55</w:t>
            </w:r>
          </w:p>
        </w:tc>
      </w:tr>
      <w:tr w:rsidR="00E4430E" w:rsidRPr="006A60B9" w:rsidTr="00680B60">
        <w:tc>
          <w:tcPr>
            <w:tcW w:w="2493" w:type="dxa"/>
          </w:tcPr>
          <w:p w:rsidR="00E4430E" w:rsidRDefault="00E4430E" w:rsidP="00805E91">
            <w:r w:rsidRPr="003769C5">
              <w:t>150 mm</w:t>
            </w:r>
          </w:p>
        </w:tc>
        <w:tc>
          <w:tcPr>
            <w:tcW w:w="2025" w:type="dxa"/>
          </w:tcPr>
          <w:p w:rsidR="00E4430E" w:rsidRDefault="00E4430E" w:rsidP="003965FD">
            <w:r w:rsidRPr="00D35DCE">
              <w:t>12</w:t>
            </w:r>
          </w:p>
        </w:tc>
      </w:tr>
    </w:tbl>
    <w:p w:rsidR="00E4430E" w:rsidRDefault="00E4430E" w:rsidP="00845FE6">
      <w:pPr>
        <w:rPr>
          <w:rFonts w:eastAsia="Times New Roman"/>
          <w:lang w:eastAsia="ar-SA"/>
        </w:rPr>
      </w:pPr>
    </w:p>
    <w:p w:rsidR="00E4430E" w:rsidRDefault="00E4430E" w:rsidP="00845FE6">
      <w:pPr>
        <w:rPr>
          <w:rFonts w:eastAsia="Times New Roman"/>
          <w:lang w:eastAsia="ar-SA"/>
        </w:rPr>
      </w:pPr>
    </w:p>
    <w:p w:rsidR="00125B58" w:rsidRDefault="00125B58" w:rsidP="00845FE6">
      <w:pPr>
        <w:rPr>
          <w:rFonts w:eastAsia="Times New Roman"/>
          <w:b/>
          <w:lang w:eastAsia="ar-SA"/>
        </w:rPr>
      </w:pPr>
    </w:p>
    <w:p w:rsidR="00325B1E" w:rsidRDefault="00325B1E" w:rsidP="00325B1E">
      <w:p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Pielikums Nr. 2</w:t>
      </w:r>
    </w:p>
    <w:p w:rsidR="00325B1E" w:rsidRDefault="00325B1E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325B1E" w:rsidRDefault="00325B1E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A18C1" w:rsidRDefault="00EA18C1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47204E">
        <w:rPr>
          <w:rFonts w:eastAsia="Times New Roman"/>
          <w:b/>
          <w:bCs/>
          <w:sz w:val="22"/>
          <w:szCs w:val="22"/>
          <w:lang w:eastAsia="ar-SA"/>
        </w:rPr>
        <w:t>FINANŠU PIEDĀVĀJUMS</w:t>
      </w:r>
    </w:p>
    <w:p w:rsidR="00FE4CCF" w:rsidRDefault="00FE4CCF" w:rsidP="00FE4CCF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E4430E">
        <w:rPr>
          <w:rFonts w:eastAsia="Times New Roman"/>
          <w:b/>
          <w:bCs/>
          <w:lang w:eastAsia="en-US"/>
        </w:rPr>
        <w:t xml:space="preserve">LR Proklamēšanas dienai veltītās </w:t>
      </w:r>
      <w:r>
        <w:rPr>
          <w:rFonts w:eastAsia="Times New Roman"/>
          <w:b/>
          <w:bCs/>
          <w:lang w:eastAsia="en-US"/>
        </w:rPr>
        <w:t xml:space="preserve"> uguņošanas realizācija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FE4CCF" w:rsidRDefault="00FE4CCF" w:rsidP="00EA18C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A18C1" w:rsidRPr="0047204E" w:rsidRDefault="00EA18C1" w:rsidP="00EA18C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pPr w:leftFromText="180" w:rightFromText="180" w:bottomFromText="200" w:vertAnchor="text" w:horzAnchor="margin" w:tblpY="-66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894"/>
      </w:tblGrid>
      <w:tr w:rsidR="00EA18C1" w:rsidRPr="0047204E" w:rsidTr="00EF2DA8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Kam: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Kultūras pārvaldei, K.Valdemāra iela 13, Daugavpils, LV-5401, Latvija</w:t>
            </w:r>
          </w:p>
        </w:tc>
      </w:tr>
      <w:tr w:rsidR="00EA18C1" w:rsidRPr="0047204E" w:rsidTr="00EF2DA8">
        <w:trPr>
          <w:trHeight w:val="4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 xml:space="preserve">Pretendents 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Adrese: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Kontaktpersona, tās tālrunis, fakss un e-pasts: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Datums: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sz w:val="22"/>
                <w:szCs w:val="22"/>
                <w:lang w:eastAsia="ar-SA"/>
              </w:rPr>
              <w:t>Pretendenta Bankas rekvizīti: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1" w:rsidRPr="0047204E" w:rsidRDefault="00EA18C1" w:rsidP="009B134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EA18C1" w:rsidRDefault="00EA18C1" w:rsidP="00EA18C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2493"/>
        <w:gridCol w:w="2025"/>
        <w:gridCol w:w="2019"/>
        <w:gridCol w:w="2019"/>
      </w:tblGrid>
      <w:tr w:rsidR="00FE4CCF" w:rsidTr="006A60B9">
        <w:tc>
          <w:tcPr>
            <w:tcW w:w="2493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Kalibrs</w:t>
            </w:r>
          </w:p>
        </w:tc>
        <w:tc>
          <w:tcPr>
            <w:tcW w:w="2025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Skaits</w:t>
            </w:r>
          </w:p>
        </w:tc>
        <w:tc>
          <w:tcPr>
            <w:tcW w:w="2019" w:type="dxa"/>
          </w:tcPr>
          <w:p w:rsidR="00FE4CCF" w:rsidRDefault="00FE4CCF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Cena </w:t>
            </w:r>
            <w:r w:rsidR="00E34A79">
              <w:rPr>
                <w:rFonts w:eastAsia="Times New Roman"/>
                <w:lang w:eastAsia="ar-SA"/>
              </w:rPr>
              <w:t xml:space="preserve">par 1 </w:t>
            </w:r>
            <w:proofErr w:type="spellStart"/>
            <w:r w:rsidR="00E34A79">
              <w:rPr>
                <w:rFonts w:eastAsia="Times New Roman"/>
                <w:lang w:eastAsia="ar-SA"/>
              </w:rPr>
              <w:t>gab.</w:t>
            </w:r>
            <w:r>
              <w:rPr>
                <w:rFonts w:eastAsia="Times New Roman"/>
                <w:lang w:eastAsia="ar-SA"/>
              </w:rPr>
              <w:t>EUR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019" w:type="dxa"/>
          </w:tcPr>
          <w:p w:rsidR="00FE4CCF" w:rsidRDefault="00FE4CCF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Cena kopā EUR</w:t>
            </w: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25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414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28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694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30 mm (</w:t>
            </w:r>
            <w:proofErr w:type="spellStart"/>
            <w:r w:rsidRPr="00C86640">
              <w:t>Single</w:t>
            </w:r>
            <w:proofErr w:type="spellEnd"/>
            <w:r w:rsidRPr="00C86640">
              <w:t xml:space="preserve"> </w:t>
            </w:r>
            <w:proofErr w:type="spellStart"/>
            <w:r w:rsidRPr="00C86640">
              <w:t>Shoots</w:t>
            </w:r>
            <w:proofErr w:type="spellEnd"/>
            <w:r w:rsidRPr="00C86640">
              <w:t>)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112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32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665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45 mm (</w:t>
            </w:r>
            <w:proofErr w:type="spellStart"/>
            <w:r w:rsidRPr="00C86640">
              <w:t>Single</w:t>
            </w:r>
            <w:proofErr w:type="spellEnd"/>
            <w:r w:rsidRPr="00C86640">
              <w:t xml:space="preserve"> </w:t>
            </w:r>
            <w:proofErr w:type="spellStart"/>
            <w:r w:rsidRPr="00C86640">
              <w:t>Shoots</w:t>
            </w:r>
            <w:proofErr w:type="spellEnd"/>
            <w:r w:rsidRPr="00C86640">
              <w:t>)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33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65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48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75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100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100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148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Pr="00C86640" w:rsidRDefault="00E34A79" w:rsidP="00A95758">
            <w:r w:rsidRPr="00C86640">
              <w:t>125 mm</w:t>
            </w:r>
          </w:p>
        </w:tc>
        <w:tc>
          <w:tcPr>
            <w:tcW w:w="2025" w:type="dxa"/>
          </w:tcPr>
          <w:p w:rsidR="00E34A79" w:rsidRPr="00CB7F04" w:rsidRDefault="00E34A79" w:rsidP="004D737A">
            <w:r w:rsidRPr="00CB7F04">
              <w:t>55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34A79" w:rsidTr="006A60B9">
        <w:tc>
          <w:tcPr>
            <w:tcW w:w="2493" w:type="dxa"/>
          </w:tcPr>
          <w:p w:rsidR="00E34A79" w:rsidRDefault="00E34A79" w:rsidP="00A95758">
            <w:r w:rsidRPr="00C86640">
              <w:t>150 mm</w:t>
            </w:r>
          </w:p>
        </w:tc>
        <w:tc>
          <w:tcPr>
            <w:tcW w:w="2025" w:type="dxa"/>
          </w:tcPr>
          <w:p w:rsidR="00E34A79" w:rsidRDefault="00E34A79" w:rsidP="004D737A">
            <w:r w:rsidRPr="00CB7F04">
              <w:t>12</w:t>
            </w:r>
          </w:p>
        </w:tc>
        <w:tc>
          <w:tcPr>
            <w:tcW w:w="2019" w:type="dxa"/>
          </w:tcPr>
          <w:p w:rsidR="00E34A79" w:rsidRDefault="00E34A79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E34A79" w:rsidRDefault="00E34A79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CA372F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Pirotehnisko konstrukciju montāža un demontāža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F70038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Palīgmateriāli pirotehniskas uzstādīšanai un izpildīšanai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195BF7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lang w:eastAsia="ar-SA"/>
              </w:rPr>
            </w:pPr>
            <w:r w:rsidRPr="00EF2DA8">
              <w:rPr>
                <w:rFonts w:eastAsia="Times New Roman"/>
                <w:color w:val="000000"/>
                <w:sz w:val="22"/>
                <w:szCs w:val="22"/>
              </w:rPr>
              <w:t>Digitālās sinhronizācijas nodrošināšana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Kopā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PVN 21%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Pr="00EF2DA8" w:rsidRDefault="00266358" w:rsidP="00266358">
            <w:pPr>
              <w:keepLines/>
              <w:widowControl w:val="0"/>
              <w:suppressAutoHyphens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EF2DA8">
              <w:rPr>
                <w:rFonts w:eastAsia="Times New Roman"/>
                <w:b/>
                <w:i/>
                <w:lang w:eastAsia="ar-SA"/>
              </w:rPr>
              <w:t>Kopā ar PVN 21%</w:t>
            </w: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6358" w:rsidTr="008C1A8A">
        <w:tc>
          <w:tcPr>
            <w:tcW w:w="6537" w:type="dxa"/>
            <w:gridSpan w:val="3"/>
          </w:tcPr>
          <w:p w:rsidR="00266358" w:rsidRDefault="00266358" w:rsidP="00EA18C1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019" w:type="dxa"/>
          </w:tcPr>
          <w:p w:rsidR="00266358" w:rsidRDefault="00266358" w:rsidP="00FE4CCF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A60B9" w:rsidRDefault="006A60B9" w:rsidP="00EF2D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F2DA8" w:rsidRPr="00052BBC" w:rsidRDefault="00EF2DA8" w:rsidP="00EF2D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8613" w:type="dxa"/>
        <w:tblLayout w:type="fixed"/>
        <w:tblLook w:val="04A0" w:firstRow="1" w:lastRow="0" w:firstColumn="1" w:lastColumn="0" w:noHBand="0" w:noVBand="1"/>
      </w:tblPr>
      <w:tblGrid>
        <w:gridCol w:w="4394"/>
        <w:gridCol w:w="4219"/>
      </w:tblGrid>
      <w:tr w:rsidR="00EA18C1" w:rsidRPr="0047204E" w:rsidTr="00EF2DA8">
        <w:trPr>
          <w:trHeight w:val="5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Vārds, uzvārds, amats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rPr>
          <w:trHeight w:val="551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Paraksts 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8C1" w:rsidRPr="0047204E" w:rsidTr="00EF2DA8">
        <w:trPr>
          <w:trHeight w:val="368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47204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C1" w:rsidRPr="0047204E" w:rsidRDefault="00EA18C1" w:rsidP="009B134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25B1E" w:rsidRDefault="00325B1E" w:rsidP="00EF2DA8">
      <w:pPr>
        <w:keepNext/>
        <w:suppressAutoHyphens/>
        <w:outlineLvl w:val="1"/>
        <w:rPr>
          <w:rFonts w:eastAsia="Times New Roman"/>
          <w:sz w:val="20"/>
          <w:szCs w:val="20"/>
          <w:lang w:eastAsia="ar-SA"/>
        </w:rPr>
      </w:pPr>
    </w:p>
    <w:sectPr w:rsidR="00325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0C" w:rsidRDefault="006F220C" w:rsidP="00B46840">
      <w:r>
        <w:separator/>
      </w:r>
    </w:p>
  </w:endnote>
  <w:endnote w:type="continuationSeparator" w:id="0">
    <w:p w:rsidR="006F220C" w:rsidRDefault="006F220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0C" w:rsidRDefault="006F220C" w:rsidP="00B46840">
      <w:r>
        <w:separator/>
      </w:r>
    </w:p>
  </w:footnote>
  <w:footnote w:type="continuationSeparator" w:id="0">
    <w:p w:rsidR="006F220C" w:rsidRDefault="006F220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3DD"/>
    <w:multiLevelType w:val="multilevel"/>
    <w:tmpl w:val="2B18A8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25378"/>
    <w:rsid w:val="00025A46"/>
    <w:rsid w:val="00052BBC"/>
    <w:rsid w:val="00052D48"/>
    <w:rsid w:val="00055E50"/>
    <w:rsid w:val="0006675B"/>
    <w:rsid w:val="000679B8"/>
    <w:rsid w:val="00073F57"/>
    <w:rsid w:val="00077EAB"/>
    <w:rsid w:val="000A528C"/>
    <w:rsid w:val="000B5EF8"/>
    <w:rsid w:val="000B7C30"/>
    <w:rsid w:val="000D511D"/>
    <w:rsid w:val="000F5930"/>
    <w:rsid w:val="00113D77"/>
    <w:rsid w:val="001143E1"/>
    <w:rsid w:val="00116357"/>
    <w:rsid w:val="00122C73"/>
    <w:rsid w:val="00125B58"/>
    <w:rsid w:val="00164093"/>
    <w:rsid w:val="00166BFD"/>
    <w:rsid w:val="0016778C"/>
    <w:rsid w:val="00182095"/>
    <w:rsid w:val="00182B46"/>
    <w:rsid w:val="001964BF"/>
    <w:rsid w:val="001A4FD9"/>
    <w:rsid w:val="002129F3"/>
    <w:rsid w:val="00263790"/>
    <w:rsid w:val="00266358"/>
    <w:rsid w:val="00266C41"/>
    <w:rsid w:val="00295DFE"/>
    <w:rsid w:val="002B2824"/>
    <w:rsid w:val="002C11B5"/>
    <w:rsid w:val="002C1FEC"/>
    <w:rsid w:val="002F05B8"/>
    <w:rsid w:val="00325B1E"/>
    <w:rsid w:val="00334EA1"/>
    <w:rsid w:val="00336348"/>
    <w:rsid w:val="00366C39"/>
    <w:rsid w:val="003772AE"/>
    <w:rsid w:val="0039100A"/>
    <w:rsid w:val="003B48A9"/>
    <w:rsid w:val="003C21E5"/>
    <w:rsid w:val="00455124"/>
    <w:rsid w:val="004B364F"/>
    <w:rsid w:val="004D6BA9"/>
    <w:rsid w:val="00510161"/>
    <w:rsid w:val="00540E72"/>
    <w:rsid w:val="005831DA"/>
    <w:rsid w:val="005C668F"/>
    <w:rsid w:val="005D6926"/>
    <w:rsid w:val="005E0568"/>
    <w:rsid w:val="00603DAD"/>
    <w:rsid w:val="00636F05"/>
    <w:rsid w:val="00662CF2"/>
    <w:rsid w:val="006918DD"/>
    <w:rsid w:val="006A60B9"/>
    <w:rsid w:val="006D269C"/>
    <w:rsid w:val="006E5B10"/>
    <w:rsid w:val="006F220C"/>
    <w:rsid w:val="0070656F"/>
    <w:rsid w:val="00706737"/>
    <w:rsid w:val="00721713"/>
    <w:rsid w:val="007220CF"/>
    <w:rsid w:val="00727C3B"/>
    <w:rsid w:val="00727FD7"/>
    <w:rsid w:val="00763752"/>
    <w:rsid w:val="0076471E"/>
    <w:rsid w:val="0077758F"/>
    <w:rsid w:val="00793729"/>
    <w:rsid w:val="007A3FBB"/>
    <w:rsid w:val="007A67A1"/>
    <w:rsid w:val="007F064A"/>
    <w:rsid w:val="007F6B8F"/>
    <w:rsid w:val="008130C9"/>
    <w:rsid w:val="00833B3D"/>
    <w:rsid w:val="00845FE6"/>
    <w:rsid w:val="008562D4"/>
    <w:rsid w:val="008671B6"/>
    <w:rsid w:val="00880112"/>
    <w:rsid w:val="008B7743"/>
    <w:rsid w:val="008C09AE"/>
    <w:rsid w:val="008C3526"/>
    <w:rsid w:val="008C5AD0"/>
    <w:rsid w:val="008E4FCD"/>
    <w:rsid w:val="008E6F5A"/>
    <w:rsid w:val="009019DE"/>
    <w:rsid w:val="00902922"/>
    <w:rsid w:val="009116FD"/>
    <w:rsid w:val="0092163D"/>
    <w:rsid w:val="009C2764"/>
    <w:rsid w:val="009C34EC"/>
    <w:rsid w:val="009E7E33"/>
    <w:rsid w:val="009F3ED2"/>
    <w:rsid w:val="009F4C9E"/>
    <w:rsid w:val="00A176EB"/>
    <w:rsid w:val="00A31F46"/>
    <w:rsid w:val="00AC26BE"/>
    <w:rsid w:val="00AD2F6C"/>
    <w:rsid w:val="00AE0BBE"/>
    <w:rsid w:val="00AF48B0"/>
    <w:rsid w:val="00AF4E1D"/>
    <w:rsid w:val="00B3022C"/>
    <w:rsid w:val="00B310CE"/>
    <w:rsid w:val="00B46840"/>
    <w:rsid w:val="00B90CFA"/>
    <w:rsid w:val="00BB56E1"/>
    <w:rsid w:val="00BC3568"/>
    <w:rsid w:val="00BC698E"/>
    <w:rsid w:val="00BD2C56"/>
    <w:rsid w:val="00C35A65"/>
    <w:rsid w:val="00C62424"/>
    <w:rsid w:val="00C64E91"/>
    <w:rsid w:val="00C8047E"/>
    <w:rsid w:val="00C856B1"/>
    <w:rsid w:val="00CA66FF"/>
    <w:rsid w:val="00CD0C05"/>
    <w:rsid w:val="00CF1BEC"/>
    <w:rsid w:val="00D23CDB"/>
    <w:rsid w:val="00D6550A"/>
    <w:rsid w:val="00D662FF"/>
    <w:rsid w:val="00D701F0"/>
    <w:rsid w:val="00DB7136"/>
    <w:rsid w:val="00DC45EF"/>
    <w:rsid w:val="00E024A3"/>
    <w:rsid w:val="00E127B5"/>
    <w:rsid w:val="00E27952"/>
    <w:rsid w:val="00E34A79"/>
    <w:rsid w:val="00E4430E"/>
    <w:rsid w:val="00E72FF9"/>
    <w:rsid w:val="00E82FF8"/>
    <w:rsid w:val="00E833EB"/>
    <w:rsid w:val="00EA18C1"/>
    <w:rsid w:val="00EE1593"/>
    <w:rsid w:val="00EE2195"/>
    <w:rsid w:val="00EE5E93"/>
    <w:rsid w:val="00EF2DA8"/>
    <w:rsid w:val="00F339E2"/>
    <w:rsid w:val="00F84C5E"/>
    <w:rsid w:val="00FB0F90"/>
    <w:rsid w:val="00FD1E83"/>
    <w:rsid w:val="00FD3AE4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1A13EF-9C79-4602-8604-82243B46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2163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76375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E7E33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46840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B46840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603DAD"/>
  </w:style>
  <w:style w:type="character" w:styleId="Izmantotahipersaite">
    <w:name w:val="FollowedHyperlink"/>
    <w:basedOn w:val="Noklusjumarindkopasfonts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Parasts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Parasts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Parasts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Parasts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Parasts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Parasts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Parasts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table" w:customStyle="1" w:styleId="TableGrid1">
    <w:name w:val="Table Grid1"/>
    <w:basedOn w:val="Parastatabula"/>
    <w:next w:val="Reatabula"/>
    <w:rsid w:val="0077758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7758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7758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7758F"/>
    <w:rPr>
      <w:vertAlign w:val="superscript"/>
    </w:rPr>
  </w:style>
  <w:style w:type="paragraph" w:customStyle="1" w:styleId="Default">
    <w:name w:val="Default"/>
    <w:rsid w:val="00E4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E516-B493-4A37-8E51-59EEA06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Diana Soldane</cp:lastModifiedBy>
  <cp:revision>2</cp:revision>
  <cp:lastPrinted>2016-05-26T06:02:00Z</cp:lastPrinted>
  <dcterms:created xsi:type="dcterms:W3CDTF">2018-11-06T14:10:00Z</dcterms:created>
  <dcterms:modified xsi:type="dcterms:W3CDTF">2018-11-06T14:10:00Z</dcterms:modified>
</cp:coreProperties>
</file>