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CD37" w14:textId="77777777" w:rsidR="00535C35" w:rsidRPr="00792C62" w:rsidRDefault="00F41EF1" w:rsidP="00535C35">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position w:val="7"/>
          <w:sz w:val="23"/>
          <w:szCs w:val="23"/>
          <w:lang w:eastAsia="lv-LV"/>
        </w:rPr>
      </w:pPr>
      <w:r>
        <w:rPr>
          <w:rFonts w:ascii="Verdana" w:hAnsi="Verdana"/>
          <w:b/>
          <w:bCs/>
          <w:sz w:val="20"/>
          <w:szCs w:val="20"/>
        </w:rPr>
        <w:t xml:space="preserve">  </w:t>
      </w:r>
      <w:r w:rsidR="00535C35" w:rsidRPr="00792C62">
        <w:rPr>
          <w:rFonts w:ascii="Times New Roman" w:eastAsia="Arial Unicode MS" w:hAnsi="Times New Roman" w:cs="Arial Unicode MS"/>
          <w:color w:val="000000"/>
          <w:position w:val="7"/>
          <w:sz w:val="23"/>
          <w:szCs w:val="23"/>
          <w:lang w:eastAsia="lv-LV"/>
        </w:rPr>
        <w:t>Apstiprināts</w:t>
      </w:r>
    </w:p>
    <w:p w14:paraId="6F165A0B" w14:textId="3E606685" w:rsidR="00535C35" w:rsidRPr="00792C62" w:rsidRDefault="00535C35" w:rsidP="00535C35">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position w:val="7"/>
          <w:sz w:val="23"/>
          <w:szCs w:val="23"/>
          <w:lang w:eastAsia="lv-LV"/>
        </w:rPr>
      </w:pPr>
      <w:r w:rsidRPr="00792C62">
        <w:rPr>
          <w:rFonts w:ascii="Times New Roman" w:eastAsia="Arial Unicode MS" w:hAnsi="Times New Roman" w:cs="Arial Unicode MS"/>
          <w:color w:val="000000"/>
          <w:position w:val="7"/>
          <w:sz w:val="23"/>
          <w:szCs w:val="23"/>
          <w:lang w:eastAsia="lv-LV"/>
        </w:rPr>
        <w:t>SIA “Daugavpils satiksme” iepirkuma komisijas</w:t>
      </w:r>
    </w:p>
    <w:p w14:paraId="4789587F" w14:textId="19BFA51B" w:rsidR="00535C35" w:rsidRPr="00792C62" w:rsidRDefault="00535C35" w:rsidP="00535C35">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position w:val="7"/>
          <w:sz w:val="23"/>
          <w:szCs w:val="23"/>
          <w:lang w:eastAsia="lv-LV"/>
        </w:rPr>
      </w:pPr>
      <w:r w:rsidRPr="00792C62">
        <w:rPr>
          <w:rFonts w:ascii="Times New Roman" w:eastAsia="Arial Unicode MS" w:hAnsi="Times New Roman" w:cs="Arial Unicode MS"/>
          <w:position w:val="7"/>
          <w:sz w:val="23"/>
          <w:szCs w:val="23"/>
          <w:lang w:eastAsia="lv-LV"/>
        </w:rPr>
        <w:t xml:space="preserve">2024.gada </w:t>
      </w:r>
      <w:r w:rsidR="00792C62" w:rsidRPr="00792C62">
        <w:rPr>
          <w:rFonts w:ascii="Times New Roman" w:eastAsia="Arial Unicode MS" w:hAnsi="Times New Roman" w:cs="Arial Unicode MS"/>
          <w:position w:val="7"/>
          <w:sz w:val="23"/>
          <w:szCs w:val="23"/>
          <w:lang w:eastAsia="lv-LV"/>
        </w:rPr>
        <w:t>1</w:t>
      </w:r>
      <w:r w:rsidR="00792C62">
        <w:rPr>
          <w:rFonts w:ascii="Times New Roman" w:eastAsia="Arial Unicode MS" w:hAnsi="Times New Roman" w:cs="Arial Unicode MS"/>
          <w:position w:val="7"/>
          <w:sz w:val="23"/>
          <w:szCs w:val="23"/>
          <w:lang w:eastAsia="lv-LV"/>
        </w:rPr>
        <w:t>3</w:t>
      </w:r>
      <w:r w:rsidR="00792C62" w:rsidRPr="00792C62">
        <w:rPr>
          <w:rFonts w:ascii="Times New Roman" w:eastAsia="Arial Unicode MS" w:hAnsi="Times New Roman" w:cs="Arial Unicode MS"/>
          <w:position w:val="7"/>
          <w:sz w:val="23"/>
          <w:szCs w:val="23"/>
          <w:lang w:eastAsia="lv-LV"/>
        </w:rPr>
        <w:t>.marta</w:t>
      </w:r>
      <w:r w:rsidRPr="00792C62">
        <w:rPr>
          <w:rFonts w:ascii="Times New Roman" w:eastAsia="Arial Unicode MS" w:hAnsi="Times New Roman" w:cs="Arial Unicode MS"/>
          <w:position w:val="7"/>
          <w:sz w:val="23"/>
          <w:szCs w:val="23"/>
          <w:lang w:eastAsia="lv-LV"/>
        </w:rPr>
        <w:t xml:space="preserve"> sēdē, protokols Nr.</w:t>
      </w:r>
      <w:r w:rsidR="00792C62" w:rsidRPr="00792C62">
        <w:rPr>
          <w:rFonts w:ascii="Times New Roman" w:eastAsia="Arial Unicode MS" w:hAnsi="Times New Roman" w:cs="Arial Unicode MS"/>
          <w:position w:val="7"/>
          <w:sz w:val="23"/>
          <w:szCs w:val="23"/>
          <w:lang w:eastAsia="lv-LV"/>
        </w:rPr>
        <w:t>5</w:t>
      </w:r>
    </w:p>
    <w:p w14:paraId="7B14EDC1" w14:textId="77777777" w:rsidR="00535C35" w:rsidRPr="00792C62" w:rsidRDefault="00535C35" w:rsidP="00535C35">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3"/>
          <w:szCs w:val="23"/>
          <w:lang w:eastAsia="lv-LV"/>
        </w:rPr>
      </w:pPr>
    </w:p>
    <w:p w14:paraId="162BFAF7" w14:textId="7AB9A1C7" w:rsidR="00535C35" w:rsidRPr="00792C62" w:rsidRDefault="00535C35" w:rsidP="00535C35">
      <w:pPr>
        <w:tabs>
          <w:tab w:val="center" w:pos="4153"/>
          <w:tab w:val="right" w:pos="8280"/>
          <w:tab w:val="right" w:pos="8306"/>
        </w:tabs>
        <w:suppressAutoHyphens/>
        <w:autoSpaceDN w:val="0"/>
        <w:spacing w:after="0" w:line="240" w:lineRule="auto"/>
        <w:jc w:val="center"/>
        <w:textAlignment w:val="baseline"/>
        <w:rPr>
          <w:rFonts w:ascii="Times New Roman" w:eastAsia="Arial Unicode MS" w:hAnsi="Times New Roman" w:cs="Times New Roman"/>
          <w:b/>
          <w:bCs/>
          <w:color w:val="000000"/>
          <w:position w:val="7"/>
          <w:sz w:val="23"/>
          <w:szCs w:val="23"/>
          <w:lang w:eastAsia="lv-LV"/>
        </w:rPr>
      </w:pPr>
      <w:r w:rsidRPr="00792C62">
        <w:rPr>
          <w:rFonts w:ascii="Times New Roman" w:eastAsia="Arial Unicode MS" w:hAnsi="Times New Roman" w:cs="Times New Roman"/>
          <w:b/>
          <w:bCs/>
          <w:color w:val="000000"/>
          <w:position w:val="7"/>
          <w:sz w:val="23"/>
          <w:szCs w:val="23"/>
          <w:lang w:eastAsia="lv-LV"/>
        </w:rPr>
        <w:t xml:space="preserve">Atklāts konkurss “Daugavpils </w:t>
      </w:r>
      <w:proofErr w:type="spellStart"/>
      <w:r w:rsidRPr="00792C62">
        <w:rPr>
          <w:rFonts w:ascii="Times New Roman" w:eastAsia="Arial Unicode MS" w:hAnsi="Times New Roman" w:cs="Times New Roman"/>
          <w:b/>
          <w:bCs/>
          <w:color w:val="000000"/>
          <w:position w:val="7"/>
          <w:sz w:val="23"/>
          <w:szCs w:val="23"/>
          <w:lang w:eastAsia="lv-LV"/>
        </w:rPr>
        <w:t>valstspilsētas</w:t>
      </w:r>
      <w:proofErr w:type="spellEnd"/>
      <w:r w:rsidRPr="00792C62">
        <w:rPr>
          <w:rFonts w:ascii="Times New Roman" w:eastAsia="Arial Unicode MS" w:hAnsi="Times New Roman" w:cs="Times New Roman"/>
          <w:b/>
          <w:bCs/>
          <w:color w:val="000000"/>
          <w:position w:val="7"/>
          <w:sz w:val="23"/>
          <w:szCs w:val="23"/>
          <w:lang w:eastAsia="lv-LV"/>
        </w:rPr>
        <w:t xml:space="preserve"> sabiedriskā transporta uz lietotāja kontu un lokāciju balstītas biļešu sistēmas risinājuma iegāde un uzstādīšana”, </w:t>
      </w:r>
    </w:p>
    <w:p w14:paraId="6CF1FB59" w14:textId="3AD5B455" w:rsidR="00535C35" w:rsidRPr="00792C62" w:rsidRDefault="00535C35" w:rsidP="00535C35">
      <w:pPr>
        <w:tabs>
          <w:tab w:val="center" w:pos="4153"/>
          <w:tab w:val="right" w:pos="8280"/>
          <w:tab w:val="right" w:pos="8306"/>
        </w:tabs>
        <w:suppressAutoHyphens/>
        <w:autoSpaceDN w:val="0"/>
        <w:spacing w:after="0" w:line="240" w:lineRule="auto"/>
        <w:jc w:val="center"/>
        <w:textAlignment w:val="baseline"/>
        <w:rPr>
          <w:rFonts w:ascii="Times New Roman" w:eastAsia="Arial Unicode MS" w:hAnsi="Times New Roman" w:cs="Times New Roman"/>
          <w:b/>
          <w:bCs/>
          <w:color w:val="000000"/>
          <w:position w:val="7"/>
          <w:sz w:val="23"/>
          <w:szCs w:val="23"/>
          <w:lang w:eastAsia="lv-LV"/>
        </w:rPr>
      </w:pPr>
      <w:r w:rsidRPr="00792C62">
        <w:rPr>
          <w:rFonts w:ascii="Times New Roman" w:eastAsia="Arial Unicode MS" w:hAnsi="Times New Roman" w:cs="Times New Roman"/>
          <w:b/>
          <w:bCs/>
          <w:color w:val="000000"/>
          <w:position w:val="7"/>
          <w:sz w:val="23"/>
          <w:szCs w:val="23"/>
          <w:lang w:eastAsia="lv-LV"/>
        </w:rPr>
        <w:t>identifikācijas numurs SIADS/2023/57</w:t>
      </w:r>
    </w:p>
    <w:p w14:paraId="1A447773" w14:textId="77777777" w:rsidR="00535C35" w:rsidRPr="00792C62" w:rsidRDefault="00535C35" w:rsidP="00535C35">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3"/>
          <w:szCs w:val="23"/>
          <w:lang w:eastAsia="lv-LV"/>
        </w:rPr>
      </w:pPr>
    </w:p>
    <w:p w14:paraId="4FA742D4" w14:textId="39701DA6" w:rsidR="00535C35" w:rsidRPr="00792C62" w:rsidRDefault="00535C35" w:rsidP="00535C35">
      <w:pPr>
        <w:spacing w:before="240" w:after="240" w:line="240" w:lineRule="auto"/>
        <w:jc w:val="center"/>
        <w:rPr>
          <w:rFonts w:ascii="Times New Roman" w:eastAsia="Times New Roman" w:hAnsi="Times New Roman" w:cs="Times New Roman"/>
          <w:b/>
          <w:sz w:val="23"/>
          <w:szCs w:val="23"/>
        </w:rPr>
      </w:pPr>
      <w:r w:rsidRPr="00792C62">
        <w:rPr>
          <w:rFonts w:ascii="Times New Roman" w:eastAsia="Times New Roman" w:hAnsi="Times New Roman" w:cs="Times New Roman"/>
          <w:b/>
          <w:sz w:val="23"/>
          <w:szCs w:val="23"/>
        </w:rPr>
        <w:t>ATBILDES UZ UZDOTAJIEM JAUTĀJUMIEM NR.</w:t>
      </w:r>
      <w:r w:rsidR="00792C62" w:rsidRPr="00792C62">
        <w:rPr>
          <w:rFonts w:ascii="Times New Roman" w:eastAsia="Times New Roman" w:hAnsi="Times New Roman" w:cs="Times New Roman"/>
          <w:b/>
          <w:sz w:val="23"/>
          <w:szCs w:val="23"/>
        </w:rPr>
        <w:t>2</w:t>
      </w:r>
    </w:p>
    <w:p w14:paraId="499B8DCB" w14:textId="77777777" w:rsidR="007C67A1" w:rsidRDefault="007C67A1" w:rsidP="00924A13">
      <w:pPr>
        <w:spacing w:after="0" w:line="276" w:lineRule="auto"/>
        <w:jc w:val="both"/>
        <w:rPr>
          <w:rFonts w:ascii="Verdana" w:hAnsi="Verdana"/>
          <w:sz w:val="20"/>
          <w:szCs w:val="20"/>
        </w:rPr>
      </w:pPr>
    </w:p>
    <w:p w14:paraId="55EF320B" w14:textId="77777777" w:rsidR="00792C62" w:rsidRPr="00792C62" w:rsidRDefault="00792C62" w:rsidP="00792C62">
      <w:pPr>
        <w:spacing w:after="0" w:line="240" w:lineRule="auto"/>
        <w:jc w:val="both"/>
        <w:rPr>
          <w:rFonts w:ascii="Times New Roman" w:eastAsia="Times New Roman" w:hAnsi="Times New Roman" w:cs="Times New Roman"/>
          <w:i/>
          <w:iCs/>
          <w:color w:val="000000"/>
          <w:sz w:val="23"/>
          <w:szCs w:val="23"/>
          <w:lang w:eastAsia="lv-LV"/>
        </w:rPr>
      </w:pPr>
      <w:r w:rsidRPr="00792C62">
        <w:rPr>
          <w:rFonts w:ascii="Times New Roman" w:eastAsia="Times New Roman" w:hAnsi="Times New Roman" w:cs="Times New Roman"/>
          <w:i/>
          <w:iCs/>
          <w:color w:val="000000"/>
          <w:sz w:val="23"/>
          <w:szCs w:val="23"/>
          <w:u w:val="single"/>
          <w:lang w:eastAsia="lv-LV"/>
        </w:rPr>
        <w:t>Jautājums Nr.1:</w:t>
      </w:r>
      <w:r w:rsidRPr="00792C62">
        <w:rPr>
          <w:rFonts w:ascii="Times New Roman" w:eastAsia="Times New Roman" w:hAnsi="Times New Roman" w:cs="Times New Roman"/>
          <w:i/>
          <w:iCs/>
          <w:color w:val="000000"/>
          <w:sz w:val="23"/>
          <w:szCs w:val="23"/>
          <w:lang w:eastAsia="lv-LV"/>
        </w:rPr>
        <w:t xml:space="preserve"> </w:t>
      </w:r>
      <w:r w:rsidRPr="00792C62">
        <w:rPr>
          <w:rFonts w:ascii="Times New Roman" w:eastAsia="Times New Roman" w:hAnsi="Times New Roman" w:cs="Times New Roman"/>
          <w:color w:val="000000"/>
          <w:sz w:val="23"/>
          <w:szCs w:val="23"/>
          <w:lang w:eastAsia="lv-LV"/>
        </w:rPr>
        <w:t xml:space="preserve">Pagarināt nolikuma līguma darbības termiņus: </w:t>
      </w:r>
    </w:p>
    <w:p w14:paraId="545FB4A0" w14:textId="77777777" w:rsidR="00792C62" w:rsidRDefault="00792C62" w:rsidP="00792C62">
      <w:pPr>
        <w:spacing w:after="0" w:line="240" w:lineRule="auto"/>
        <w:jc w:val="both"/>
        <w:rPr>
          <w:rFonts w:ascii="Times New Roman" w:eastAsia="Times New Roman" w:hAnsi="Times New Roman" w:cs="Times New Roman"/>
          <w:color w:val="000000"/>
          <w:sz w:val="23"/>
          <w:szCs w:val="23"/>
          <w:lang w:eastAsia="lv-LV"/>
        </w:rPr>
      </w:pPr>
      <w:r w:rsidRPr="00792C62">
        <w:rPr>
          <w:rFonts w:ascii="Times New Roman" w:eastAsia="Times New Roman" w:hAnsi="Times New Roman" w:cs="Times New Roman"/>
          <w:color w:val="000000"/>
          <w:sz w:val="23"/>
          <w:szCs w:val="23"/>
          <w:lang w:eastAsia="lv-LV"/>
        </w:rPr>
        <w:t>Iepirkuma līguma darbības termiņš: 12 mēneši izstrādei un ieviešanai un 51 mēnesis nodrošināšanai. Izstrāde jāveic 9 mēnešu laikā no līguma parakstīšanas dienas, bet lietotāju apmācības un ieviešana - 3 mēnešu laikā pēc izstrādes pabeigšanas.</w:t>
      </w:r>
    </w:p>
    <w:p w14:paraId="4946AF18" w14:textId="77777777" w:rsidR="00792C62" w:rsidRPr="00792C62" w:rsidRDefault="00792C62" w:rsidP="00792C62">
      <w:pPr>
        <w:spacing w:after="0" w:line="240" w:lineRule="auto"/>
        <w:jc w:val="both"/>
        <w:rPr>
          <w:rFonts w:ascii="Times New Roman" w:eastAsia="Times New Roman" w:hAnsi="Times New Roman" w:cs="Times New Roman"/>
          <w:color w:val="000000"/>
          <w:sz w:val="23"/>
          <w:szCs w:val="23"/>
          <w:u w:val="single"/>
          <w:lang w:eastAsia="lv-LV"/>
        </w:rPr>
      </w:pPr>
      <w:r w:rsidRPr="00792C62">
        <w:rPr>
          <w:rFonts w:ascii="Times New Roman" w:eastAsia="Times New Roman" w:hAnsi="Times New Roman" w:cs="Times New Roman"/>
          <w:i/>
          <w:iCs/>
          <w:color w:val="000000"/>
          <w:sz w:val="23"/>
          <w:szCs w:val="23"/>
          <w:u w:val="single"/>
          <w:lang w:eastAsia="lv-LV"/>
        </w:rPr>
        <w:t xml:space="preserve">Atbilde uz jautājumu Nr.1: </w:t>
      </w:r>
    </w:p>
    <w:p w14:paraId="2DB57B14" w14:textId="1B780EFB" w:rsidR="00792C62" w:rsidRPr="00792C62" w:rsidRDefault="00792C62" w:rsidP="00792C62">
      <w:pPr>
        <w:spacing w:after="0" w:line="240" w:lineRule="auto"/>
        <w:contextualSpacing/>
        <w:jc w:val="both"/>
        <w:rPr>
          <w:rFonts w:ascii="Times New Roman" w:eastAsia="Calibri" w:hAnsi="Times New Roman" w:cs="Times New Roman"/>
          <w:bCs/>
          <w:color w:val="FF0000"/>
          <w:sz w:val="23"/>
          <w:szCs w:val="23"/>
        </w:rPr>
      </w:pPr>
      <w:r w:rsidRPr="00792C62">
        <w:rPr>
          <w:rFonts w:ascii="Times New Roman" w:eastAsia="Calibri" w:hAnsi="Times New Roman" w:cs="Times New Roman"/>
          <w:bCs/>
          <w:sz w:val="23"/>
          <w:szCs w:val="23"/>
        </w:rPr>
        <w:t xml:space="preserve">Iepirkuma komisija skaidro, ka noteiktais iepirkuma priekšmeta līguma realizācijas termiņš ir pietiekošs. Pasūtītājs </w:t>
      </w:r>
      <w:r w:rsidRPr="00792C62">
        <w:rPr>
          <w:rFonts w:ascii="Times New Roman" w:eastAsia="Calibri" w:hAnsi="Times New Roman" w:cs="Times New Roman"/>
          <w:bCs/>
          <w:color w:val="000000"/>
          <w:sz w:val="23"/>
          <w:szCs w:val="23"/>
        </w:rPr>
        <w:t>pirms iepirkuma izsludināšanas organizēja apspriedi ar ieinteresētajiem piegādātājiem pēc kuras guva pārliecību par termiņa atbilstību tirgus dalībnieku iespējām.</w:t>
      </w:r>
      <w:r w:rsidRPr="00792C62">
        <w:rPr>
          <w:rFonts w:ascii="Times New Roman" w:eastAsia="Calibri" w:hAnsi="Times New Roman" w:cs="Times New Roman"/>
          <w:bCs/>
          <w:color w:val="FF0000"/>
          <w:sz w:val="23"/>
          <w:szCs w:val="23"/>
        </w:rPr>
        <w:t xml:space="preserve"> </w:t>
      </w:r>
    </w:p>
    <w:p w14:paraId="76A135CA" w14:textId="77777777" w:rsidR="00792C62" w:rsidRPr="00792C62" w:rsidRDefault="00792C62" w:rsidP="00792C62">
      <w:pPr>
        <w:spacing w:after="0" w:line="240" w:lineRule="auto"/>
        <w:contextualSpacing/>
        <w:jc w:val="both"/>
        <w:rPr>
          <w:rFonts w:ascii="Times New Roman" w:eastAsia="Calibri" w:hAnsi="Times New Roman" w:cs="Times New Roman"/>
          <w:bCs/>
          <w:sz w:val="23"/>
          <w:szCs w:val="23"/>
        </w:rPr>
      </w:pPr>
    </w:p>
    <w:p w14:paraId="21997428"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Jautājumi Nr.2 par Tehniskajām specifikācijām:</w:t>
      </w:r>
    </w:p>
    <w:p w14:paraId="088D5FAC" w14:textId="77777777" w:rsidR="00792C62" w:rsidRDefault="00792C62" w:rsidP="00792C62">
      <w:pPr>
        <w:spacing w:after="0" w:line="240" w:lineRule="auto"/>
        <w:jc w:val="both"/>
        <w:rPr>
          <w:rFonts w:ascii="Times New Roman" w:eastAsia="Calibri" w:hAnsi="Times New Roman" w:cs="Times New Roman"/>
          <w:bCs/>
          <w:i/>
          <w:iCs/>
          <w:sz w:val="23"/>
          <w:szCs w:val="23"/>
          <w:u w:val="single"/>
        </w:rPr>
      </w:pPr>
    </w:p>
    <w:p w14:paraId="1709DA0E" w14:textId="0C934366"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2.1 par tehniskajām specifikācijām:</w:t>
      </w:r>
    </w:p>
    <w:p w14:paraId="6FFF156A"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1.4.1.</w:t>
      </w:r>
      <w:r w:rsidRPr="00792C62">
        <w:rPr>
          <w:rFonts w:ascii="Times New Roman" w:eastAsia="Calibri" w:hAnsi="Times New Roman" w:cs="Times New Roman"/>
          <w:bCs/>
          <w:sz w:val="23"/>
          <w:szCs w:val="23"/>
        </w:rPr>
        <w:tab/>
        <w:t>Iebūvēta aprīkojuma platforma, lai nolasītu un izplatītu datus/signālus no transportlīdzekļa un pievienotajām sastāvdaļām pa attiecīgo kanālu(-</w:t>
      </w:r>
      <w:proofErr w:type="spellStart"/>
      <w:r w:rsidRPr="00792C62">
        <w:rPr>
          <w:rFonts w:ascii="Times New Roman" w:eastAsia="Calibri" w:hAnsi="Times New Roman" w:cs="Times New Roman"/>
          <w:bCs/>
          <w:sz w:val="23"/>
          <w:szCs w:val="23"/>
        </w:rPr>
        <w:t>iem</w:t>
      </w:r>
      <w:proofErr w:type="spellEnd"/>
      <w:r w:rsidRPr="00792C62">
        <w:rPr>
          <w:rFonts w:ascii="Times New Roman" w:eastAsia="Calibri" w:hAnsi="Times New Roman" w:cs="Times New Roman"/>
          <w:bCs/>
          <w:sz w:val="23"/>
          <w:szCs w:val="23"/>
        </w:rPr>
        <w:t xml:space="preserve">), kā noteikts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standartā vai līdzvērtīgā.</w:t>
      </w:r>
    </w:p>
    <w:p w14:paraId="27E5648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264EE4AA"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Visas iekārtas, kuras šobrīd izmanto klients (galamērķa zīmes, videonovērošanas sistēma, </w:t>
      </w:r>
      <w:proofErr w:type="spellStart"/>
      <w:r w:rsidRPr="00792C62">
        <w:rPr>
          <w:rFonts w:ascii="Times New Roman" w:eastAsia="Calibri" w:hAnsi="Times New Roman" w:cs="Times New Roman"/>
          <w:bCs/>
          <w:sz w:val="23"/>
          <w:szCs w:val="23"/>
        </w:rPr>
        <w:t>Wi-Fi</w:t>
      </w:r>
      <w:proofErr w:type="spellEnd"/>
      <w:r w:rsidRPr="00792C62">
        <w:rPr>
          <w:rFonts w:ascii="Times New Roman" w:eastAsia="Calibri" w:hAnsi="Times New Roman" w:cs="Times New Roman"/>
          <w:bCs/>
          <w:sz w:val="23"/>
          <w:szCs w:val="23"/>
        </w:rPr>
        <w:t xml:space="preserve"> maršrutētāji netiek atbalstīti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standartā no aparatūras un programmatūras daļas).</w:t>
      </w:r>
    </w:p>
    <w:p w14:paraId="1E6C9EF3" w14:textId="746F45D3"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Kā klients plāno izmantot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standartu šajā situācijā?</w:t>
      </w:r>
    </w:p>
    <w:p w14:paraId="3E08C783" w14:textId="37F6A7E1"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.1:</w:t>
      </w:r>
    </w:p>
    <w:p w14:paraId="71DAB5CB" w14:textId="77777777" w:rsidR="00792C62" w:rsidRPr="00792C62" w:rsidRDefault="00792C62" w:rsidP="00792C62">
      <w:pPr>
        <w:widowControl w:val="0"/>
        <w:autoSpaceDE w:val="0"/>
        <w:autoSpaceDN w:val="0"/>
        <w:spacing w:after="0" w:line="240" w:lineRule="auto"/>
        <w:jc w:val="both"/>
        <w:rPr>
          <w:rFonts w:ascii="Times New Roman" w:eastAsia="Trebuchet MS" w:hAnsi="Times New Roman" w:cs="Times New Roman"/>
          <w:color w:val="000000"/>
          <w:sz w:val="23"/>
          <w:szCs w:val="23"/>
        </w:rPr>
      </w:pPr>
      <w:r w:rsidRPr="00792C62">
        <w:rPr>
          <w:rFonts w:ascii="Times New Roman" w:eastAsia="Trebuchet MS" w:hAnsi="Times New Roman" w:cs="Times New Roman"/>
          <w:color w:val="000000"/>
          <w:sz w:val="23"/>
          <w:szCs w:val="23"/>
        </w:rPr>
        <w:t xml:space="preserve">Iepirkuma komisija skaidro, ka pasūtītājam nav pienākums sniegt padziļinātu informāciju par tā rīcībā esošām ar iepirkuma priekšmetu nesaistītām iekārtām, vai plānoto nākotnes sistēmas elementu izmantošanu ārpus tehniskās specifikācijas prasībām. </w:t>
      </w:r>
    </w:p>
    <w:p w14:paraId="6E7D1857" w14:textId="77777777" w:rsidR="00792C62" w:rsidRPr="00792C62" w:rsidRDefault="00792C62" w:rsidP="00792C62">
      <w:pPr>
        <w:widowControl w:val="0"/>
        <w:autoSpaceDE w:val="0"/>
        <w:autoSpaceDN w:val="0"/>
        <w:spacing w:after="0" w:line="240" w:lineRule="auto"/>
        <w:ind w:right="-35"/>
        <w:jc w:val="both"/>
        <w:rPr>
          <w:rFonts w:ascii="Times New Roman" w:eastAsia="Trebuchet MS" w:hAnsi="Times New Roman" w:cs="Times New Roman"/>
          <w:color w:val="000000"/>
          <w:spacing w:val="-2"/>
          <w:sz w:val="23"/>
          <w:szCs w:val="23"/>
        </w:rPr>
      </w:pPr>
      <w:r w:rsidRPr="00792C62">
        <w:rPr>
          <w:rFonts w:ascii="Times New Roman" w:eastAsia="Trebuchet MS" w:hAnsi="Times New Roman" w:cs="Times New Roman"/>
          <w:color w:val="000000"/>
          <w:spacing w:val="-2"/>
          <w:sz w:val="23"/>
          <w:szCs w:val="23"/>
        </w:rPr>
        <w:t xml:space="preserve">Tehniskās specifikācijas 1.4.1. punktā pasūtītājs ir skaidri noteiktas borta aprīkojuma platformas prasības ievērojot </w:t>
      </w:r>
      <w:proofErr w:type="spellStart"/>
      <w:r w:rsidRPr="00792C62">
        <w:rPr>
          <w:rFonts w:ascii="Times New Roman" w:eastAsia="Trebuchet MS" w:hAnsi="Times New Roman" w:cs="Times New Roman"/>
          <w:color w:val="000000"/>
          <w:spacing w:val="-2"/>
          <w:sz w:val="23"/>
          <w:szCs w:val="23"/>
        </w:rPr>
        <w:t>ITxPT</w:t>
      </w:r>
      <w:proofErr w:type="spellEnd"/>
      <w:r w:rsidRPr="00792C62">
        <w:rPr>
          <w:rFonts w:ascii="Times New Roman" w:eastAsia="Trebuchet MS" w:hAnsi="Times New Roman" w:cs="Times New Roman"/>
          <w:color w:val="000000"/>
          <w:spacing w:val="-2"/>
          <w:sz w:val="23"/>
          <w:szCs w:val="23"/>
        </w:rPr>
        <w:t xml:space="preserve"> vai līdzvērtīgā standarta prasības, tādejādi nepiesaistot sistēmas </w:t>
      </w:r>
      <w:proofErr w:type="spellStart"/>
      <w:r w:rsidRPr="00792C62">
        <w:rPr>
          <w:rFonts w:ascii="Times New Roman" w:eastAsia="Trebuchet MS" w:hAnsi="Times New Roman" w:cs="Times New Roman"/>
          <w:color w:val="000000"/>
          <w:spacing w:val="-2"/>
          <w:sz w:val="23"/>
          <w:szCs w:val="23"/>
        </w:rPr>
        <w:t>sadarbspējas</w:t>
      </w:r>
      <w:proofErr w:type="spellEnd"/>
      <w:r w:rsidRPr="00792C62">
        <w:rPr>
          <w:rFonts w:ascii="Times New Roman" w:eastAsia="Trebuchet MS" w:hAnsi="Times New Roman" w:cs="Times New Roman"/>
          <w:color w:val="000000"/>
          <w:spacing w:val="-2"/>
          <w:sz w:val="23"/>
          <w:szCs w:val="23"/>
        </w:rPr>
        <w:t xml:space="preserve"> prasības esošajiem pasūtītāja tehniskajiem līdzekļiem, bet vērtējot </w:t>
      </w:r>
      <w:proofErr w:type="spellStart"/>
      <w:r w:rsidRPr="00792C62">
        <w:rPr>
          <w:rFonts w:ascii="Times New Roman" w:eastAsia="Trebuchet MS" w:hAnsi="Times New Roman" w:cs="Times New Roman"/>
          <w:color w:val="000000"/>
          <w:spacing w:val="-2"/>
          <w:sz w:val="23"/>
          <w:szCs w:val="23"/>
        </w:rPr>
        <w:t>sadarbspēju</w:t>
      </w:r>
      <w:proofErr w:type="spellEnd"/>
      <w:r w:rsidRPr="00792C62">
        <w:rPr>
          <w:rFonts w:ascii="Times New Roman" w:eastAsia="Trebuchet MS" w:hAnsi="Times New Roman" w:cs="Times New Roman"/>
          <w:color w:val="000000"/>
          <w:spacing w:val="-2"/>
          <w:sz w:val="23"/>
          <w:szCs w:val="23"/>
        </w:rPr>
        <w:t xml:space="preserve"> nākotnē, tostarp, plānojot arī šo pasūtītāja tehnisko līdzekļu modernizāciju. Atvērto </w:t>
      </w:r>
      <w:proofErr w:type="spellStart"/>
      <w:r w:rsidRPr="00792C62">
        <w:rPr>
          <w:rFonts w:ascii="Times New Roman" w:eastAsia="Trebuchet MS" w:hAnsi="Times New Roman" w:cs="Times New Roman"/>
          <w:color w:val="000000"/>
          <w:spacing w:val="-2"/>
          <w:sz w:val="23"/>
          <w:szCs w:val="23"/>
        </w:rPr>
        <w:t>sadarbspējas</w:t>
      </w:r>
      <w:proofErr w:type="spellEnd"/>
      <w:r w:rsidRPr="00792C62">
        <w:rPr>
          <w:rFonts w:ascii="Times New Roman" w:eastAsia="Trebuchet MS" w:hAnsi="Times New Roman" w:cs="Times New Roman"/>
          <w:color w:val="000000"/>
          <w:spacing w:val="-2"/>
          <w:sz w:val="23"/>
          <w:szCs w:val="23"/>
        </w:rPr>
        <w:t xml:space="preserve"> standartu prasības nodrošina dažādu sistēmas komponenšu savietošanu nākotnē, tādejādi nodrošinot ekonomiskos ieguvumus ilgtermiņā. </w:t>
      </w:r>
    </w:p>
    <w:p w14:paraId="15D513B3"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2A6166FC"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 xml:space="preserve">Nr.2.2 </w:t>
      </w:r>
      <w:bookmarkStart w:id="0" w:name="_Hlk161152845"/>
      <w:r w:rsidRPr="00792C62">
        <w:rPr>
          <w:rFonts w:ascii="Times New Roman" w:eastAsia="Calibri" w:hAnsi="Times New Roman" w:cs="Times New Roman"/>
          <w:bCs/>
          <w:i/>
          <w:iCs/>
          <w:sz w:val="23"/>
          <w:szCs w:val="23"/>
          <w:u w:val="single"/>
        </w:rPr>
        <w:t>par tehniskajām specifikācijām:</w:t>
      </w:r>
      <w:bookmarkEnd w:id="0"/>
    </w:p>
    <w:p w14:paraId="75B8AAC9"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1.4.3. Viegla aparatūra un pilna aparatūras versija.</w:t>
      </w:r>
    </w:p>
    <w:p w14:paraId="487CC7AC"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7604E5A0"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Cik vieglās versijas un pilnās versijas aparatūras ir nepieciešamas?</w:t>
      </w:r>
    </w:p>
    <w:p w14:paraId="1BC08270" w14:textId="682DB9CC"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jautājumu Nr.2.</w:t>
      </w:r>
      <w:r>
        <w:rPr>
          <w:rFonts w:ascii="Times New Roman" w:eastAsia="Calibri" w:hAnsi="Times New Roman" w:cs="Times New Roman"/>
          <w:bCs/>
          <w:i/>
          <w:iCs/>
          <w:sz w:val="23"/>
          <w:szCs w:val="23"/>
          <w:u w:val="single"/>
        </w:rPr>
        <w:t>2</w:t>
      </w:r>
      <w:r w:rsidRPr="00792C62">
        <w:rPr>
          <w:rFonts w:ascii="Times New Roman" w:eastAsia="Calibri" w:hAnsi="Times New Roman" w:cs="Times New Roman"/>
          <w:bCs/>
          <w:i/>
          <w:iCs/>
          <w:sz w:val="23"/>
          <w:szCs w:val="23"/>
          <w:u w:val="single"/>
        </w:rPr>
        <w:t>:</w:t>
      </w:r>
    </w:p>
    <w:p w14:paraId="4358C18D"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Tehniskās specifikācijas 1.4.3. apakšpunktā ir skaidri noteikta prasību alternatīva risinājuma esamībai, lai paplašinātu piegādātāju spējas nodrošināt sistēmas darbību visos pasūtītāja transporta līdzekļu veidos, taču nezinot konkrēta piegādātāja tehniskā risinājuma </w:t>
      </w:r>
      <w:r w:rsidRPr="00792C62">
        <w:rPr>
          <w:rFonts w:ascii="Times New Roman" w:eastAsia="Calibri" w:hAnsi="Times New Roman" w:cs="Times New Roman"/>
          <w:bCs/>
          <w:sz w:val="23"/>
          <w:szCs w:val="23"/>
        </w:rPr>
        <w:lastRenderedPageBreak/>
        <w:t>tehniskās specifikācijas pasūtītājs nevar objektīvi novērtēt, cik un kādos transportlīdzekļos var būt nepieciešams uzstādīt vienkāršotas iekārtu versijas. Tādejādi pasūtītājs nodrošina vienlīdzīgas iespējas pretendentam piegādāt tehnisko risinājumu, kurš var nebūt pilnībā salāgojams ar atsevišķiem pasūtītāja novecojušiem transportlīdzekļiem. Informācija par pasūtītāja transportlīdzekļu floti un modeļiem ir publiski pieejama informācija, tostarp, tādā apjomā, lai nodrošinātu Tehniskās specifikācijas 1.4.4. apakšpunktā noteikto prasību izpildi.</w:t>
      </w:r>
    </w:p>
    <w:p w14:paraId="34EA2AA7"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16732881"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Nr.2.3 par tehniskajām specifikācijām:</w:t>
      </w:r>
    </w:p>
    <w:p w14:paraId="5AE59C8D"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1.4.4. Transportlīdzekļa/iekārtu kļūdu statusu nolasīšana un izplatīšana gan vadītāja konsolei, gan dispečeru/centrālajām aizmugursistēmām.</w:t>
      </w:r>
    </w:p>
    <w:p w14:paraId="35B3B633"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4A61885C"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Nepieciešami sīkāki apraksti. Piemēram: transportlīdzekļu tips (autobuss, tramvajs </w:t>
      </w:r>
      <w:proofErr w:type="spellStart"/>
      <w:r w:rsidRPr="00792C62">
        <w:rPr>
          <w:rFonts w:ascii="Times New Roman" w:eastAsia="Calibri" w:hAnsi="Times New Roman" w:cs="Times New Roman"/>
          <w:bCs/>
          <w:sz w:val="23"/>
          <w:szCs w:val="23"/>
        </w:rPr>
        <w:t>utt</w:t>
      </w:r>
      <w:proofErr w:type="spellEnd"/>
      <w:r w:rsidRPr="00792C62">
        <w:rPr>
          <w:rFonts w:ascii="Times New Roman" w:eastAsia="Calibri" w:hAnsi="Times New Roman" w:cs="Times New Roman"/>
          <w:bCs/>
          <w:sz w:val="23"/>
          <w:szCs w:val="23"/>
        </w:rPr>
        <w:t xml:space="preserve"> .), iespēja nolasīt kļūdu statusus, prasības Dispečeru sistēmai (uzraudzība, ziņošana utt.).</w:t>
      </w:r>
    </w:p>
    <w:p w14:paraId="7ADAE4CE" w14:textId="74766009"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bookmarkStart w:id="1" w:name="_Hlk161156620"/>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.3:</w:t>
      </w:r>
    </w:p>
    <w:bookmarkEnd w:id="1"/>
    <w:p w14:paraId="39011DA4" w14:textId="7D151E22"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Iepirkuma komisija skaidro, ka nav definēti specifiski paziņojumi /iekārtu kļūdu statusi, kurus nepieciešams attēlot. Informācija par pasūtītāja transportlīdzekļu floti un modeļiem ir publiski pieejama informācija.</w:t>
      </w:r>
    </w:p>
    <w:p w14:paraId="1AB9165A"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499B47DF"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Nr.2.4 par tehniskajām specifikācijām:</w:t>
      </w:r>
    </w:p>
    <w:p w14:paraId="6521134C"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2.6.5. Biļešu tirdzniecības automāts, TVM atbalsts automatizētai POS.</w:t>
      </w:r>
    </w:p>
    <w:p w14:paraId="40EE29E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0BCAF803"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Nav informācijas</w:t>
      </w:r>
    </w:p>
    <w:p w14:paraId="04994430"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Kas piegādās TVM un cik TVM jāpiegādā?</w:t>
      </w:r>
    </w:p>
    <w:p w14:paraId="06D9A8A7"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 TVM jau pastāv, integrācijai un savienojumam nav specifikācijas un apraksta.</w:t>
      </w:r>
    </w:p>
    <w:p w14:paraId="5D3DE91B" w14:textId="4498F43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.4:</w:t>
      </w:r>
    </w:p>
    <w:p w14:paraId="69B73F39"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Tehniskās specifikācijas 2.6.5. apakšpunktā noteiktas prasības biļešu tirdzniecības automātu (</w:t>
      </w:r>
      <w:proofErr w:type="spellStart"/>
      <w:r w:rsidRPr="00792C62">
        <w:rPr>
          <w:rFonts w:ascii="Times New Roman" w:eastAsia="Calibri" w:hAnsi="Times New Roman" w:cs="Times New Roman"/>
          <w:bCs/>
          <w:sz w:val="23"/>
          <w:szCs w:val="23"/>
        </w:rPr>
        <w:t>Angl</w:t>
      </w:r>
      <w:proofErr w:type="spellEnd"/>
      <w:r w:rsidRPr="00792C62">
        <w:rPr>
          <w:rFonts w:ascii="Times New Roman" w:eastAsia="Calibri" w:hAnsi="Times New Roman" w:cs="Times New Roman"/>
          <w:bCs/>
          <w:sz w:val="23"/>
          <w:szCs w:val="23"/>
        </w:rPr>
        <w:t xml:space="preserve">. val. </w:t>
      </w:r>
      <w:proofErr w:type="spellStart"/>
      <w:r w:rsidRPr="00792C62">
        <w:rPr>
          <w:rFonts w:ascii="Times New Roman" w:eastAsia="Calibri" w:hAnsi="Times New Roman" w:cs="Times New Roman"/>
          <w:bCs/>
          <w:sz w:val="23"/>
          <w:szCs w:val="23"/>
        </w:rPr>
        <w:t>Ticket</w:t>
      </w:r>
      <w:proofErr w:type="spellEnd"/>
      <w:r w:rsidRPr="00792C62">
        <w:rPr>
          <w:rFonts w:ascii="Times New Roman" w:eastAsia="Calibri" w:hAnsi="Times New Roman" w:cs="Times New Roman"/>
          <w:bCs/>
          <w:sz w:val="23"/>
          <w:szCs w:val="23"/>
        </w:rPr>
        <w:t xml:space="preserve"> </w:t>
      </w:r>
      <w:proofErr w:type="spellStart"/>
      <w:r w:rsidRPr="00792C62">
        <w:rPr>
          <w:rFonts w:ascii="Times New Roman" w:eastAsia="Calibri" w:hAnsi="Times New Roman" w:cs="Times New Roman"/>
          <w:bCs/>
          <w:sz w:val="23"/>
          <w:szCs w:val="23"/>
        </w:rPr>
        <w:t>vending</w:t>
      </w:r>
      <w:proofErr w:type="spellEnd"/>
      <w:r w:rsidRPr="00792C62">
        <w:rPr>
          <w:rFonts w:ascii="Times New Roman" w:eastAsia="Calibri" w:hAnsi="Times New Roman" w:cs="Times New Roman"/>
          <w:bCs/>
          <w:sz w:val="23"/>
          <w:szCs w:val="23"/>
        </w:rPr>
        <w:t xml:space="preserve"> </w:t>
      </w:r>
      <w:proofErr w:type="spellStart"/>
      <w:r w:rsidRPr="00792C62">
        <w:rPr>
          <w:rFonts w:ascii="Times New Roman" w:eastAsia="Calibri" w:hAnsi="Times New Roman" w:cs="Times New Roman"/>
          <w:bCs/>
          <w:sz w:val="23"/>
          <w:szCs w:val="23"/>
        </w:rPr>
        <w:t>machine</w:t>
      </w:r>
      <w:proofErr w:type="spellEnd"/>
      <w:r w:rsidRPr="00792C62">
        <w:rPr>
          <w:rFonts w:ascii="Times New Roman" w:eastAsia="Calibri" w:hAnsi="Times New Roman" w:cs="Times New Roman"/>
          <w:bCs/>
          <w:sz w:val="23"/>
          <w:szCs w:val="23"/>
        </w:rPr>
        <w:t xml:space="preserve">, TVM) atbalsts automatizētai POS, bet nav noteikta prasība šādu iekārtu piegādei un uzstādīšanai. Pasūtītājs vēlas nodrošināties, ka sistēma spēs nodrošināt </w:t>
      </w:r>
      <w:proofErr w:type="spellStart"/>
      <w:r w:rsidRPr="00792C62">
        <w:rPr>
          <w:rFonts w:ascii="Times New Roman" w:eastAsia="Calibri" w:hAnsi="Times New Roman" w:cs="Times New Roman"/>
          <w:bCs/>
          <w:sz w:val="23"/>
          <w:szCs w:val="23"/>
        </w:rPr>
        <w:t>sadarbspēju</w:t>
      </w:r>
      <w:proofErr w:type="spellEnd"/>
      <w:r w:rsidRPr="00792C62">
        <w:rPr>
          <w:rFonts w:ascii="Times New Roman" w:eastAsia="Calibri" w:hAnsi="Times New Roman" w:cs="Times New Roman"/>
          <w:bCs/>
          <w:sz w:val="23"/>
          <w:szCs w:val="23"/>
        </w:rPr>
        <w:t xml:space="preserve"> ar TVM, ja tādas tiks iegādātas.</w:t>
      </w:r>
    </w:p>
    <w:p w14:paraId="7F64CE24"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6727BF85"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7AEB3BA3"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Nr.2.5 par tehniskajām specifikācijām:</w:t>
      </w:r>
    </w:p>
    <w:p w14:paraId="2D5BD2C1"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2.8. Braukšanas grafika apstrāde un atbalsts savienotiem braucieniem (blokiem):</w:t>
      </w:r>
    </w:p>
    <w:p w14:paraId="36B0F760"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2.8.1. Ieplānot/bloķēt importēšanu GTFS formātā:</w:t>
      </w:r>
    </w:p>
    <w:p w14:paraId="3E0EFFB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60758B50"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Grafiks/bloķēšana GTFS formātā nav precīza.</w:t>
      </w:r>
    </w:p>
    <w:p w14:paraId="186E68DC"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Grafiks ir jāatjaunina, izmantojot dispečeru programmatūru. Nav apraksta par dispečera programmatūras daļu.</w:t>
      </w:r>
    </w:p>
    <w:p w14:paraId="46D2CC85" w14:textId="57FDACC9"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.5:</w:t>
      </w:r>
    </w:p>
    <w:p w14:paraId="1689FD9A" w14:textId="14C89550"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Iepirkuma komisija skaidro, ka</w:t>
      </w:r>
      <w:r w:rsidRPr="00792C62">
        <w:rPr>
          <w:rFonts w:ascii="Times New Roman" w:eastAsia="Times New Roman" w:hAnsi="Times New Roman" w:cs="Times New Roman"/>
          <w:sz w:val="23"/>
          <w:szCs w:val="23"/>
        </w:rPr>
        <w:t xml:space="preserve"> </w:t>
      </w:r>
      <w:r w:rsidRPr="00792C62">
        <w:rPr>
          <w:rFonts w:ascii="Times New Roman" w:eastAsia="Calibri" w:hAnsi="Times New Roman" w:cs="Times New Roman"/>
          <w:bCs/>
          <w:sz w:val="23"/>
          <w:szCs w:val="23"/>
        </w:rPr>
        <w:t xml:space="preserve">Tehniskās specifikācijas 2.8.1. apakšpunktā noteiktā prasība paredz sistēmas spēju veikt maršrutu sarakstu importu, izmantojot starptautiski atzītu atvērta koda standartu </w:t>
      </w:r>
      <w:proofErr w:type="spellStart"/>
      <w:r w:rsidRPr="00792C62">
        <w:rPr>
          <w:rFonts w:ascii="Times New Roman" w:eastAsia="Calibri" w:hAnsi="Times New Roman" w:cs="Times New Roman"/>
          <w:bCs/>
          <w:sz w:val="23"/>
          <w:szCs w:val="23"/>
        </w:rPr>
        <w:t>General</w:t>
      </w:r>
      <w:proofErr w:type="spellEnd"/>
      <w:r w:rsidRPr="00792C62">
        <w:rPr>
          <w:rFonts w:ascii="Times New Roman" w:eastAsia="Calibri" w:hAnsi="Times New Roman" w:cs="Times New Roman"/>
          <w:bCs/>
          <w:sz w:val="23"/>
          <w:szCs w:val="23"/>
        </w:rPr>
        <w:t xml:space="preserve"> </w:t>
      </w:r>
      <w:proofErr w:type="spellStart"/>
      <w:r w:rsidRPr="00792C62">
        <w:rPr>
          <w:rFonts w:ascii="Times New Roman" w:eastAsia="Calibri" w:hAnsi="Times New Roman" w:cs="Times New Roman"/>
          <w:bCs/>
          <w:sz w:val="23"/>
          <w:szCs w:val="23"/>
        </w:rPr>
        <w:t>Transit</w:t>
      </w:r>
      <w:proofErr w:type="spellEnd"/>
      <w:r w:rsidRPr="00792C62">
        <w:rPr>
          <w:rFonts w:ascii="Times New Roman" w:eastAsia="Calibri" w:hAnsi="Times New Roman" w:cs="Times New Roman"/>
          <w:bCs/>
          <w:sz w:val="23"/>
          <w:szCs w:val="23"/>
        </w:rPr>
        <w:t xml:space="preserve"> </w:t>
      </w:r>
      <w:proofErr w:type="spellStart"/>
      <w:r w:rsidRPr="00792C62">
        <w:rPr>
          <w:rFonts w:ascii="Times New Roman" w:eastAsia="Calibri" w:hAnsi="Times New Roman" w:cs="Times New Roman"/>
          <w:bCs/>
          <w:sz w:val="23"/>
          <w:szCs w:val="23"/>
        </w:rPr>
        <w:t>Feed</w:t>
      </w:r>
      <w:proofErr w:type="spellEnd"/>
      <w:r w:rsidRPr="00792C62">
        <w:rPr>
          <w:rFonts w:ascii="Times New Roman" w:eastAsia="Calibri" w:hAnsi="Times New Roman" w:cs="Times New Roman"/>
          <w:bCs/>
          <w:sz w:val="23"/>
          <w:szCs w:val="23"/>
        </w:rPr>
        <w:t xml:space="preserve"> </w:t>
      </w:r>
      <w:proofErr w:type="spellStart"/>
      <w:r w:rsidRPr="00792C62">
        <w:rPr>
          <w:rFonts w:ascii="Times New Roman" w:eastAsia="Calibri" w:hAnsi="Times New Roman" w:cs="Times New Roman"/>
          <w:bCs/>
          <w:sz w:val="23"/>
          <w:szCs w:val="23"/>
        </w:rPr>
        <w:t>Specification</w:t>
      </w:r>
      <w:proofErr w:type="spellEnd"/>
      <w:r w:rsidRPr="00792C62">
        <w:rPr>
          <w:rFonts w:ascii="Times New Roman" w:eastAsia="Calibri" w:hAnsi="Times New Roman" w:cs="Times New Roman"/>
          <w:bCs/>
          <w:sz w:val="23"/>
          <w:szCs w:val="23"/>
        </w:rPr>
        <w:t xml:space="preserve"> (GTFS). Tādejādi pasūtītājs nodrošina sistēmas </w:t>
      </w:r>
      <w:proofErr w:type="spellStart"/>
      <w:r w:rsidRPr="00792C62">
        <w:rPr>
          <w:rFonts w:ascii="Times New Roman" w:eastAsia="Calibri" w:hAnsi="Times New Roman" w:cs="Times New Roman"/>
          <w:bCs/>
          <w:sz w:val="23"/>
          <w:szCs w:val="23"/>
        </w:rPr>
        <w:t>sadarbspēju</w:t>
      </w:r>
      <w:proofErr w:type="spellEnd"/>
      <w:r w:rsidRPr="00792C62">
        <w:rPr>
          <w:rFonts w:ascii="Times New Roman" w:eastAsia="Calibri" w:hAnsi="Times New Roman" w:cs="Times New Roman"/>
          <w:bCs/>
          <w:sz w:val="23"/>
          <w:szCs w:val="23"/>
        </w:rPr>
        <w:t xml:space="preserve"> ilgtermiņā. Tā kā plānotā sistēma ir integrēts risinājums, tad pasūtītājs nav paredzējis atsevišķas dispečeru programmatūras vai risinājuma izstrādi, kā tas noteikts Tehniskajā specifikācijā.</w:t>
      </w:r>
    </w:p>
    <w:p w14:paraId="5EB98FDE"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0FD13096"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Nr.2.6 par tehniskajām specifikācijām:</w:t>
      </w:r>
    </w:p>
    <w:p w14:paraId="6741A469"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2.8.3. Ziņojums(-i) pasažieru informācijas ekrāniem (publiski ziņojumi) par izmaiņām,</w:t>
      </w:r>
    </w:p>
    <w:p w14:paraId="5C4D39A4"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19A93F31"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Nepietiek informācijas</w:t>
      </w:r>
    </w:p>
    <w:p w14:paraId="0CEA02E3"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w:t>
      </w:r>
      <w:r w:rsidRPr="00792C62">
        <w:rPr>
          <w:rFonts w:ascii="Times New Roman" w:eastAsia="Calibri" w:hAnsi="Times New Roman" w:cs="Times New Roman"/>
          <w:bCs/>
          <w:sz w:val="23"/>
          <w:szCs w:val="23"/>
        </w:rPr>
        <w:tab/>
        <w:t>Nav informācijas par pasažieru informācijas ekrānu</w:t>
      </w:r>
    </w:p>
    <w:p w14:paraId="087D67E7"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lastRenderedPageBreak/>
        <w:t>-</w:t>
      </w:r>
      <w:r w:rsidRPr="00792C62">
        <w:rPr>
          <w:rFonts w:ascii="Times New Roman" w:eastAsia="Calibri" w:hAnsi="Times New Roman" w:cs="Times New Roman"/>
          <w:bCs/>
          <w:sz w:val="23"/>
          <w:szCs w:val="23"/>
        </w:rPr>
        <w:tab/>
        <w:t xml:space="preserve">Nav informācijas, kā pieslēgt Biļešu tirdzniecības termināli vai AVL termināli, izmantojot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standartu, Pasažieru informācijas ekrānam</w:t>
      </w:r>
    </w:p>
    <w:p w14:paraId="796FD367" w14:textId="5330A28E"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.6:</w:t>
      </w:r>
    </w:p>
    <w:p w14:paraId="4E07CD8D" w14:textId="52E2EE94"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Tehniskās specifikācijas 2.8.3. apakšpunktā sniegtā informācija ir pilnīga un skaidra, jo tiek paredzēta sistēmas spēja apstrādāt GTFS formātā ietvertos ziņojumus atspoguļošanai uz transportlīdzekļos esošiem pasažieru informācijas ekrāniem (ja tādi ir), kas uzskatāma par standarta funkcionalitāti šādu sistēmu darbībā.</w:t>
      </w:r>
    </w:p>
    <w:p w14:paraId="2891B8E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1C6582C0"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Nr.2.7 par tehniskajām specifikācijām:</w:t>
      </w:r>
    </w:p>
    <w:p w14:paraId="7D55C222"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2.8.4. Iespēja autovadītājam pievienot papildu braucienus no vadītāja konsoles, paplašinot bloka definīciju,</w:t>
      </w:r>
    </w:p>
    <w:p w14:paraId="5E059001"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167267BC"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Parasti šī opcija ir jāsinhronizē ar dispečeru programmatūru.</w:t>
      </w:r>
    </w:p>
    <w:p w14:paraId="3E0243F4"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Procedūra un algoritms nav aprakstīti.</w:t>
      </w:r>
    </w:p>
    <w:p w14:paraId="7B678B56" w14:textId="733944E1" w:rsid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.7:</w:t>
      </w:r>
    </w:p>
    <w:p w14:paraId="3848B868"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Attiecībā uz ieinteresētā pretendenta jautājumu par Tehniskās specifikācijas 2.8.4. apakšpunktā noteiktajām prasībām, iepirkuma komisija skaidro, ka saskaņā ar Tehnisko specifikāciju, tajā noteiktās aktivitātes paredzēts veikt sistēmā, t.i. netiek paredzēt atsevišķa dispečeru programmatūra, minētās prasībās jārealizē Pretendenta piedāvātajā sistēmā.</w:t>
      </w:r>
    </w:p>
    <w:p w14:paraId="77F5CB5E"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2B87CC49"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Nr.2.8 par tehniskajām specifikācijām:</w:t>
      </w:r>
    </w:p>
    <w:p w14:paraId="13B4DF2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2.10. Grafika atbilstības statuss (iepriekš/aizkavēšanās), pamatojoties uz paredzamo algoritmu un dinamisko brauciena laika aprēķinu.</w:t>
      </w:r>
    </w:p>
    <w:p w14:paraId="1CE23583"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2D2BA19B"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Piegādes sistēma ir jāintegrē ar esošo grafiku sistēmu vai jāpiegādā, izmantojot šo konkursa prasību.</w:t>
      </w:r>
    </w:p>
    <w:p w14:paraId="07B0B3A4" w14:textId="58AA2FCE" w:rsid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.8:</w:t>
      </w:r>
    </w:p>
    <w:p w14:paraId="19986D95" w14:textId="03120B19"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Attiecībā uz ieinteresētā pretendenta jautājumu par Tehniskās specifikācijas 2.10. punktā noteiktajām prasībām, iepirkuma komisija skaidro, ka saskaņā ar Tehnisko specifikāciju, tajā noteiktās aktivitātes paredzēts veikt sistēmā, t.i. netiek paredzēt atsevišķa grafiku sistēma, minētās prasībās jārealizē pretendenta piedāvātajā sistēmā.</w:t>
      </w:r>
    </w:p>
    <w:p w14:paraId="7DE387EE"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1CE2A063"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Nr.2.9 par tehniskajām specifikācijām:</w:t>
      </w:r>
    </w:p>
    <w:p w14:paraId="3D2FB13C"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2.11. Tuvākās ierašanās/pieturas/izbraukšanas prognoze (vienas stundas laikā vai maksimālais paredzamo ierašanās/pieturas/atiešanas laiku skaits).</w:t>
      </w:r>
    </w:p>
    <w:p w14:paraId="69AF1845"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7D430839"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Kur šī informācija ir jānorāda? Nav aprakstīts</w:t>
      </w:r>
    </w:p>
    <w:p w14:paraId="0F9F67E6"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Vai piegādes sistēma ir jāintegrē ar esošo prognozēšanas ETA sistēmu vai jāpiegādā, izmantojot šīs konkursa prasības.</w:t>
      </w:r>
    </w:p>
    <w:p w14:paraId="00ADBCBF" w14:textId="65E36360" w:rsid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.9:</w:t>
      </w:r>
    </w:p>
    <w:p w14:paraId="71619953" w14:textId="3E3EA08D"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Attiecībā uz ieinteresētā pretendenta jautājumu par Tehniskās specifikācijas 2.11. punktā noteiktajām prasībām, iepirkuma komisija skaidro, ka saskaņā ar Tehnisko specifikāciju, tajā noteiktās aktivitātes paredzēts veikt sistēmā, t.i. netiek paredzēt atsevišķa prognozēšanas ETA sistēma, minētās prasībās jārealizē Pretendenta piedāvātajā sistēmā.</w:t>
      </w:r>
    </w:p>
    <w:p w14:paraId="7A6B47C8"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4843FCE3"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Nr.2.10 par tehniskajām specifikācijām:</w:t>
      </w:r>
    </w:p>
    <w:p w14:paraId="7349747E"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3.4. Ziņojumu funkcionalitāte starp vadītāju un dispečeru(-</w:t>
      </w:r>
      <w:proofErr w:type="spellStart"/>
      <w:r w:rsidRPr="00792C62">
        <w:rPr>
          <w:rFonts w:ascii="Times New Roman" w:eastAsia="Calibri" w:hAnsi="Times New Roman" w:cs="Times New Roman"/>
          <w:bCs/>
          <w:sz w:val="23"/>
          <w:szCs w:val="23"/>
        </w:rPr>
        <w:t>iem</w:t>
      </w:r>
      <w:proofErr w:type="spellEnd"/>
      <w:r w:rsidRPr="00792C62">
        <w:rPr>
          <w:rFonts w:ascii="Times New Roman" w:eastAsia="Calibri" w:hAnsi="Times New Roman" w:cs="Times New Roman"/>
          <w:bCs/>
          <w:sz w:val="23"/>
          <w:szCs w:val="23"/>
        </w:rPr>
        <w:t>):</w:t>
      </w:r>
    </w:p>
    <w:p w14:paraId="6406F26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798EDB65"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Prasības vadītāja terminālim specifikācijā nav aprakstītas. (displeja izmērs un tips, OS, CPU, atmiņa, savienojamība utt.)</w:t>
      </w:r>
    </w:p>
    <w:p w14:paraId="78839A70" w14:textId="77777777"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Dispečera lietojumprogramma nav aprakstīta.</w:t>
      </w:r>
    </w:p>
    <w:p w14:paraId="0CED4AF4" w14:textId="264AC126" w:rsid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.10:</w:t>
      </w:r>
    </w:p>
    <w:p w14:paraId="6BC8B87D" w14:textId="29A13548" w:rsidR="00792C62" w:rsidRDefault="003F1728" w:rsidP="00792C62">
      <w:pPr>
        <w:spacing w:after="0" w:line="240" w:lineRule="auto"/>
        <w:jc w:val="both"/>
        <w:rPr>
          <w:rFonts w:ascii="Times New Roman" w:eastAsia="Calibri" w:hAnsi="Times New Roman" w:cs="Times New Roman"/>
          <w:bCs/>
          <w:sz w:val="23"/>
          <w:szCs w:val="23"/>
        </w:rPr>
      </w:pPr>
      <w:r w:rsidRPr="003F1728">
        <w:rPr>
          <w:rFonts w:ascii="Times New Roman" w:eastAsia="Calibri" w:hAnsi="Times New Roman" w:cs="Times New Roman"/>
          <w:bCs/>
          <w:sz w:val="23"/>
          <w:szCs w:val="23"/>
        </w:rPr>
        <w:lastRenderedPageBreak/>
        <w:t xml:space="preserve">Attiecībā uz ieinteresētā pretendenta jautājumu par Tehniskās specifikācijas 3.4. punktā noteiktajām prasībām, iepirkuma komisija skaidro, ka saskaņā ar Tehnisko specifikāciju, tajā noteiktās aktivitātes paredzēts veikt sistēmā, t.i. netiek paredzēta atsevišķa dispečeru programmatūra, minētās prasībās jārealizē Pretendenta piedāvātajā sistēmā. Pasūtītājs Tehniskajā specifikācijā ir noteicis vadītāja konsoles un vadītāja </w:t>
      </w:r>
      <w:proofErr w:type="spellStart"/>
      <w:r w:rsidRPr="003F1728">
        <w:rPr>
          <w:rFonts w:ascii="Times New Roman" w:eastAsia="Calibri" w:hAnsi="Times New Roman" w:cs="Times New Roman"/>
          <w:bCs/>
          <w:sz w:val="23"/>
          <w:szCs w:val="23"/>
        </w:rPr>
        <w:t>saskarnes</w:t>
      </w:r>
      <w:proofErr w:type="spellEnd"/>
      <w:r w:rsidRPr="003F1728">
        <w:rPr>
          <w:rFonts w:ascii="Times New Roman" w:eastAsia="Calibri" w:hAnsi="Times New Roman" w:cs="Times New Roman"/>
          <w:bCs/>
          <w:sz w:val="23"/>
          <w:szCs w:val="23"/>
        </w:rPr>
        <w:t xml:space="preserve"> funkcionālās prasības, tostarp, Tehniskās specifikācijas 3.7. punktā prasību iespējai trešās puses lietotnēm izmantot vadītāja konsoles iekārtu (kā daļu no nākotnes attīstības perspektīvas). Pasūtītājs nav noteicis konkrētus vadītāja konsoles tehniskos parametrus (displeja izmērs un tips, OS, CPU, atmiņa, savienojamība utt.) ar mērķi Pretendentam ļaut piedāvāt tā sistēmai un Tehniskajā specifikācijā noteiktajām prasībām atbilstošāko risinājumu.</w:t>
      </w:r>
    </w:p>
    <w:p w14:paraId="32CEA666" w14:textId="77777777" w:rsidR="003F1728" w:rsidRPr="00792C62" w:rsidRDefault="003F1728" w:rsidP="00792C62">
      <w:pPr>
        <w:spacing w:after="0" w:line="240" w:lineRule="auto"/>
        <w:jc w:val="both"/>
        <w:rPr>
          <w:rFonts w:ascii="Times New Roman" w:eastAsia="Calibri" w:hAnsi="Times New Roman" w:cs="Times New Roman"/>
          <w:bCs/>
          <w:sz w:val="23"/>
          <w:szCs w:val="23"/>
        </w:rPr>
      </w:pPr>
    </w:p>
    <w:p w14:paraId="0E5A92B7"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Nr.2.11 par tehniskajām specifikācijām:</w:t>
      </w:r>
    </w:p>
    <w:p w14:paraId="43BB4155"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7. Atvērto datu un savietojamības prasības</w:t>
      </w:r>
    </w:p>
    <w:p w14:paraId="01C64555"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7.1.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SO2 versijai 2.0 (vai jaunākai) saderīgi vai līdzvērtīgi pakalpojumi:</w:t>
      </w:r>
    </w:p>
    <w:p w14:paraId="2E5E6D20"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7.1.1. MI moduļa inventārs,</w:t>
      </w:r>
    </w:p>
    <w:p w14:paraId="778D34A6"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7.1.2. </w:t>
      </w:r>
      <w:proofErr w:type="spellStart"/>
      <w:r w:rsidRPr="00792C62">
        <w:rPr>
          <w:rFonts w:ascii="Times New Roman" w:eastAsia="Calibri" w:hAnsi="Times New Roman" w:cs="Times New Roman"/>
          <w:bCs/>
          <w:sz w:val="23"/>
          <w:szCs w:val="23"/>
        </w:rPr>
        <w:t>VEHICLEtoIP</w:t>
      </w:r>
      <w:proofErr w:type="spellEnd"/>
      <w:r w:rsidRPr="00792C62">
        <w:rPr>
          <w:rFonts w:ascii="Times New Roman" w:eastAsia="Calibri" w:hAnsi="Times New Roman" w:cs="Times New Roman"/>
          <w:bCs/>
          <w:sz w:val="23"/>
          <w:szCs w:val="23"/>
        </w:rPr>
        <w:t xml:space="preserve"> ,</w:t>
      </w:r>
    </w:p>
    <w:p w14:paraId="7F29B4D8"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7.1.3. AVMS,</w:t>
      </w:r>
    </w:p>
    <w:p w14:paraId="7E0BBC13"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7.1.4. MQTT brokeris.</w:t>
      </w:r>
    </w:p>
    <w:p w14:paraId="233B1D9D"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2DEBDB7D"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Prasības nav skaidri aprakstītas.</w:t>
      </w:r>
    </w:p>
    <w:p w14:paraId="4C5020E1"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standarts jau ir iekļauts: moduļu uzskaite, laika pakalpojums, GNSS atrašanās vieta, </w:t>
      </w:r>
      <w:proofErr w:type="spellStart"/>
      <w:r w:rsidRPr="00792C62">
        <w:rPr>
          <w:rFonts w:ascii="Times New Roman" w:eastAsia="Calibri" w:hAnsi="Times New Roman" w:cs="Times New Roman"/>
          <w:bCs/>
          <w:sz w:val="23"/>
          <w:szCs w:val="23"/>
        </w:rPr>
        <w:t>FMStoIP</w:t>
      </w:r>
      <w:proofErr w:type="spellEnd"/>
      <w:r w:rsidRPr="00792C62">
        <w:rPr>
          <w:rFonts w:ascii="Times New Roman" w:eastAsia="Calibri" w:hAnsi="Times New Roman" w:cs="Times New Roman"/>
          <w:bCs/>
          <w:sz w:val="23"/>
          <w:szCs w:val="23"/>
        </w:rPr>
        <w:t xml:space="preserve"> , </w:t>
      </w:r>
      <w:proofErr w:type="spellStart"/>
      <w:r w:rsidRPr="00792C62">
        <w:rPr>
          <w:rFonts w:ascii="Times New Roman" w:eastAsia="Calibri" w:hAnsi="Times New Roman" w:cs="Times New Roman"/>
          <w:bCs/>
          <w:sz w:val="23"/>
          <w:szCs w:val="23"/>
        </w:rPr>
        <w:t>VEHICLEtoIP</w:t>
      </w:r>
      <w:proofErr w:type="spellEnd"/>
      <w:r w:rsidRPr="00792C62">
        <w:rPr>
          <w:rFonts w:ascii="Times New Roman" w:eastAsia="Calibri" w:hAnsi="Times New Roman" w:cs="Times New Roman"/>
          <w:bCs/>
          <w:sz w:val="23"/>
          <w:szCs w:val="23"/>
        </w:rPr>
        <w:t xml:space="preserve"> , AVMS, APC, MADT, MQTT brokeris</w:t>
      </w:r>
    </w:p>
    <w:p w14:paraId="390A22BE"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Kā esošos sistēmas komponentus, kas nav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 vajadzētu savienot ar jauno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sistēmu?</w:t>
      </w:r>
    </w:p>
    <w:p w14:paraId="0EE4852E" w14:textId="626A3D5C" w:rsid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.11:</w:t>
      </w:r>
    </w:p>
    <w:p w14:paraId="54E3A60B" w14:textId="77ADDDCA" w:rsid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 xml:space="preserve">Tehniskās specifikācijas 7.1.punkts precizē dažādu sistēmai svarīgu komponenšu </w:t>
      </w:r>
      <w:proofErr w:type="spellStart"/>
      <w:r w:rsidRPr="00792C62">
        <w:rPr>
          <w:rFonts w:ascii="Times New Roman" w:eastAsia="Calibri" w:hAnsi="Times New Roman" w:cs="Times New Roman"/>
          <w:bCs/>
          <w:sz w:val="23"/>
          <w:szCs w:val="23"/>
        </w:rPr>
        <w:t>sadarbspējas</w:t>
      </w:r>
      <w:proofErr w:type="spellEnd"/>
      <w:r w:rsidRPr="00792C62">
        <w:rPr>
          <w:rFonts w:ascii="Times New Roman" w:eastAsia="Calibri" w:hAnsi="Times New Roman" w:cs="Times New Roman"/>
          <w:bCs/>
          <w:sz w:val="23"/>
          <w:szCs w:val="23"/>
        </w:rPr>
        <w:t xml:space="preserve"> prasības, izmantojot </w:t>
      </w:r>
      <w:proofErr w:type="spellStart"/>
      <w:r w:rsidRPr="00792C62">
        <w:rPr>
          <w:rFonts w:ascii="Times New Roman" w:eastAsia="Calibri" w:hAnsi="Times New Roman" w:cs="Times New Roman"/>
          <w:bCs/>
          <w:sz w:val="23"/>
          <w:szCs w:val="23"/>
        </w:rPr>
        <w:t>ITxPT</w:t>
      </w:r>
      <w:proofErr w:type="spellEnd"/>
      <w:r w:rsidRPr="00792C62">
        <w:rPr>
          <w:rFonts w:ascii="Times New Roman" w:eastAsia="Calibri" w:hAnsi="Times New Roman" w:cs="Times New Roman"/>
          <w:bCs/>
          <w:sz w:val="23"/>
          <w:szCs w:val="23"/>
        </w:rPr>
        <w:t xml:space="preserve"> vai ekvivalentu standartu</w:t>
      </w:r>
    </w:p>
    <w:p w14:paraId="6E069DE6" w14:textId="77777777" w:rsidR="00792C62" w:rsidRPr="00792C62" w:rsidRDefault="00792C62" w:rsidP="00792C62">
      <w:pPr>
        <w:spacing w:after="0" w:line="240" w:lineRule="auto"/>
        <w:jc w:val="both"/>
        <w:rPr>
          <w:rFonts w:ascii="Times New Roman" w:eastAsia="Calibri" w:hAnsi="Times New Roman" w:cs="Times New Roman"/>
          <w:bCs/>
          <w:sz w:val="23"/>
          <w:szCs w:val="23"/>
        </w:rPr>
      </w:pPr>
    </w:p>
    <w:p w14:paraId="3C65D7BA" w14:textId="77777777" w:rsidR="00792C62" w:rsidRP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Nr.2.12 par tehniskajām specifikācijām:</w:t>
      </w:r>
    </w:p>
    <w:p w14:paraId="2A11CB58"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7.5. Pasažieru informācijas atbalsts pieturā:</w:t>
      </w:r>
    </w:p>
    <w:p w14:paraId="07B2C178"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Jautājums:</w:t>
      </w:r>
    </w:p>
    <w:p w14:paraId="6FB4CB8B"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Vai piegādes sistēma ir jāintegrē ar esošajiem autobusu pieturu displejiem vai jāpiegādā, izmantojot pašreizējās specifikācijas?</w:t>
      </w:r>
    </w:p>
    <w:p w14:paraId="05F1811F" w14:textId="77777777" w:rsidR="00792C62" w:rsidRPr="00792C62" w:rsidRDefault="00792C62" w:rsidP="00792C62">
      <w:pPr>
        <w:spacing w:after="0" w:line="240" w:lineRule="auto"/>
        <w:jc w:val="both"/>
        <w:rPr>
          <w:rFonts w:ascii="Times New Roman" w:eastAsia="Calibri" w:hAnsi="Times New Roman" w:cs="Times New Roman"/>
          <w:bCs/>
          <w:sz w:val="23"/>
          <w:szCs w:val="23"/>
        </w:rPr>
      </w:pPr>
      <w:r w:rsidRPr="00792C62">
        <w:rPr>
          <w:rFonts w:ascii="Times New Roman" w:eastAsia="Calibri" w:hAnsi="Times New Roman" w:cs="Times New Roman"/>
          <w:bCs/>
          <w:sz w:val="23"/>
          <w:szCs w:val="23"/>
        </w:rPr>
        <w:t>Abos gadījumos šajā specifikācijā nav pietiekami daudz informācijas.</w:t>
      </w:r>
    </w:p>
    <w:p w14:paraId="20C0D960" w14:textId="45FCE6D9" w:rsidR="00792C62" w:rsidRDefault="00792C62" w:rsidP="00792C62">
      <w:pPr>
        <w:spacing w:after="0" w:line="240" w:lineRule="auto"/>
        <w:jc w:val="both"/>
        <w:rPr>
          <w:rFonts w:ascii="Times New Roman" w:eastAsia="Calibri" w:hAnsi="Times New Roman" w:cs="Times New Roman"/>
          <w:bCs/>
          <w:i/>
          <w:iCs/>
          <w:sz w:val="23"/>
          <w:szCs w:val="23"/>
          <w:u w:val="single"/>
        </w:rPr>
      </w:pPr>
      <w:r w:rsidRPr="00792C62">
        <w:rPr>
          <w:rFonts w:ascii="Times New Roman" w:eastAsia="Calibri" w:hAnsi="Times New Roman" w:cs="Times New Roman"/>
          <w:bCs/>
          <w:i/>
          <w:iCs/>
          <w:sz w:val="23"/>
          <w:szCs w:val="23"/>
          <w:u w:val="single"/>
        </w:rPr>
        <w:t>Atbilde uz jautājum</w:t>
      </w:r>
      <w:r>
        <w:rPr>
          <w:rFonts w:ascii="Times New Roman" w:eastAsia="Calibri" w:hAnsi="Times New Roman" w:cs="Times New Roman"/>
          <w:bCs/>
          <w:i/>
          <w:iCs/>
          <w:sz w:val="23"/>
          <w:szCs w:val="23"/>
          <w:u w:val="single"/>
        </w:rPr>
        <w:t>u</w:t>
      </w:r>
      <w:r w:rsidRPr="00792C62">
        <w:rPr>
          <w:rFonts w:ascii="Times New Roman" w:eastAsia="Calibri" w:hAnsi="Times New Roman" w:cs="Times New Roman"/>
          <w:bCs/>
          <w:i/>
          <w:iCs/>
          <w:sz w:val="23"/>
          <w:szCs w:val="23"/>
          <w:u w:val="single"/>
        </w:rPr>
        <w:t xml:space="preserve"> Nr.2</w:t>
      </w:r>
      <w:r>
        <w:rPr>
          <w:rFonts w:ascii="Times New Roman" w:eastAsia="Calibri" w:hAnsi="Times New Roman" w:cs="Times New Roman"/>
          <w:bCs/>
          <w:i/>
          <w:iCs/>
          <w:sz w:val="23"/>
          <w:szCs w:val="23"/>
          <w:u w:val="single"/>
        </w:rPr>
        <w:t>.12:</w:t>
      </w:r>
    </w:p>
    <w:p w14:paraId="1380D185" w14:textId="77777777" w:rsidR="00792C62" w:rsidRPr="00792C62" w:rsidRDefault="00792C62" w:rsidP="00792C62">
      <w:pPr>
        <w:spacing w:after="0" w:line="240" w:lineRule="auto"/>
        <w:contextualSpacing/>
        <w:jc w:val="both"/>
        <w:rPr>
          <w:rFonts w:ascii="Times New Roman" w:eastAsia="Times New Roman" w:hAnsi="Times New Roman" w:cs="Times New Roman"/>
          <w:sz w:val="23"/>
          <w:szCs w:val="23"/>
        </w:rPr>
      </w:pPr>
      <w:r w:rsidRPr="00792C62">
        <w:rPr>
          <w:rFonts w:ascii="Times New Roman" w:eastAsia="Calibri" w:hAnsi="Times New Roman" w:cs="Times New Roman"/>
          <w:bCs/>
          <w:sz w:val="23"/>
          <w:szCs w:val="23"/>
        </w:rPr>
        <w:t xml:space="preserve">Attiecībā uz Tehniskās specifikācijas 7. un 7.5. punkta prasībām, pasūtītājs nav noteicis prasību integrāciju veikšanai ar esošām komponentēm, bet specifiskas veiktspējas un </w:t>
      </w:r>
      <w:proofErr w:type="spellStart"/>
      <w:r w:rsidRPr="00792C62">
        <w:rPr>
          <w:rFonts w:ascii="Times New Roman" w:eastAsia="Calibri" w:hAnsi="Times New Roman" w:cs="Times New Roman"/>
          <w:bCs/>
          <w:sz w:val="23"/>
          <w:szCs w:val="23"/>
        </w:rPr>
        <w:t>sadarbspējas</w:t>
      </w:r>
      <w:proofErr w:type="spellEnd"/>
      <w:r w:rsidRPr="00792C62">
        <w:rPr>
          <w:rFonts w:ascii="Times New Roman" w:eastAsia="Calibri" w:hAnsi="Times New Roman" w:cs="Times New Roman"/>
          <w:bCs/>
          <w:sz w:val="23"/>
          <w:szCs w:val="23"/>
        </w:rPr>
        <w:t xml:space="preserve"> prasības sistēmai, kuras plānots izmantot nākotnes integrācijām.</w:t>
      </w:r>
    </w:p>
    <w:p w14:paraId="146BAA6C" w14:textId="77777777" w:rsidR="00792C62" w:rsidRDefault="00792C62" w:rsidP="00924A13">
      <w:pPr>
        <w:spacing w:after="0" w:line="276" w:lineRule="auto"/>
        <w:jc w:val="both"/>
        <w:rPr>
          <w:rFonts w:ascii="Verdana" w:hAnsi="Verdana"/>
          <w:sz w:val="20"/>
          <w:szCs w:val="20"/>
        </w:rPr>
      </w:pPr>
    </w:p>
    <w:p w14:paraId="1C6D0710" w14:textId="77777777" w:rsidR="00792C62" w:rsidRDefault="00792C62" w:rsidP="00924A13">
      <w:pPr>
        <w:spacing w:after="0" w:line="276" w:lineRule="auto"/>
        <w:jc w:val="both"/>
        <w:rPr>
          <w:rFonts w:ascii="Verdana" w:hAnsi="Verdana"/>
          <w:sz w:val="20"/>
          <w:szCs w:val="20"/>
        </w:rPr>
      </w:pPr>
    </w:p>
    <w:p w14:paraId="7B6C74DF" w14:textId="77777777" w:rsidR="00535C35" w:rsidRPr="00535C35" w:rsidRDefault="00535C35" w:rsidP="00535C35">
      <w:pPr>
        <w:suppressAutoHyphens/>
        <w:autoSpaceDN w:val="0"/>
        <w:spacing w:after="0" w:line="240" w:lineRule="auto"/>
        <w:jc w:val="right"/>
        <w:textAlignment w:val="baseline"/>
        <w:rPr>
          <w:rFonts w:ascii="Calibri" w:eastAsia="Calibri" w:hAnsi="Calibri" w:cs="Times New Roman"/>
          <w:sz w:val="24"/>
          <w:szCs w:val="24"/>
        </w:rPr>
      </w:pPr>
      <w:r w:rsidRPr="00535C35">
        <w:rPr>
          <w:rFonts w:ascii="Times New Roman" w:eastAsia="Times New Roman" w:hAnsi="Times New Roman" w:cs="Times New Roman"/>
          <w:color w:val="1F497D"/>
          <w:sz w:val="24"/>
          <w:szCs w:val="24"/>
          <w:lang w:eastAsia="lv-LV"/>
        </w:rPr>
        <w:t> </w:t>
      </w:r>
      <w:r w:rsidRPr="00535C35">
        <w:rPr>
          <w:rFonts w:ascii="Times New Roman" w:eastAsia="Times New Roman" w:hAnsi="Times New Roman" w:cs="Times New Roman"/>
          <w:position w:val="7"/>
          <w:sz w:val="24"/>
          <w:szCs w:val="24"/>
          <w:lang w:eastAsia="lv-LV"/>
        </w:rPr>
        <w:t>Iepirkuma komisija</w:t>
      </w:r>
    </w:p>
    <w:p w14:paraId="282C59D3" w14:textId="55C7536E" w:rsidR="003F7C90" w:rsidRPr="000300CA" w:rsidRDefault="003F7C90" w:rsidP="00924A13">
      <w:pPr>
        <w:spacing w:after="0" w:line="276" w:lineRule="auto"/>
        <w:jc w:val="center"/>
        <w:rPr>
          <w:rFonts w:ascii="Verdana" w:hAnsi="Verdana"/>
          <w:sz w:val="20"/>
          <w:szCs w:val="20"/>
        </w:rPr>
      </w:pPr>
    </w:p>
    <w:sectPr w:rsidR="003F7C90" w:rsidRPr="000300C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3E75" w14:textId="77777777" w:rsidR="009873FF" w:rsidRDefault="009873FF" w:rsidP="003F7C90">
      <w:pPr>
        <w:spacing w:after="0" w:line="240" w:lineRule="auto"/>
      </w:pPr>
      <w:r>
        <w:separator/>
      </w:r>
    </w:p>
  </w:endnote>
  <w:endnote w:type="continuationSeparator" w:id="0">
    <w:p w14:paraId="054584BB" w14:textId="77777777" w:rsidR="009873FF" w:rsidRDefault="009873FF" w:rsidP="003F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0"/>
        <w:szCs w:val="20"/>
      </w:rPr>
      <w:id w:val="-1039043582"/>
      <w:docPartObj>
        <w:docPartGallery w:val="Page Numbers (Bottom of Page)"/>
        <w:docPartUnique/>
      </w:docPartObj>
    </w:sdtPr>
    <w:sdtEndPr>
      <w:rPr>
        <w:noProof/>
      </w:rPr>
    </w:sdtEndPr>
    <w:sdtContent>
      <w:p w14:paraId="08B45395" w14:textId="0E229DB7" w:rsidR="003F7C90" w:rsidRPr="00F01437" w:rsidRDefault="003F7C90">
        <w:pPr>
          <w:pStyle w:val="Footer"/>
          <w:jc w:val="center"/>
          <w:rPr>
            <w:rFonts w:ascii="Verdana" w:hAnsi="Verdana"/>
            <w:sz w:val="20"/>
            <w:szCs w:val="20"/>
          </w:rPr>
        </w:pPr>
        <w:r w:rsidRPr="00F01437">
          <w:rPr>
            <w:rFonts w:ascii="Verdana" w:hAnsi="Verdana"/>
            <w:sz w:val="20"/>
            <w:szCs w:val="20"/>
          </w:rPr>
          <w:fldChar w:fldCharType="begin"/>
        </w:r>
        <w:r w:rsidRPr="00F01437">
          <w:rPr>
            <w:rFonts w:ascii="Verdana" w:hAnsi="Verdana"/>
            <w:sz w:val="20"/>
            <w:szCs w:val="20"/>
          </w:rPr>
          <w:instrText xml:space="preserve"> PAGE   \* MERGEFORMAT </w:instrText>
        </w:r>
        <w:r w:rsidRPr="00F01437">
          <w:rPr>
            <w:rFonts w:ascii="Verdana" w:hAnsi="Verdana"/>
            <w:sz w:val="20"/>
            <w:szCs w:val="20"/>
          </w:rPr>
          <w:fldChar w:fldCharType="separate"/>
        </w:r>
        <w:r w:rsidRPr="00F01437">
          <w:rPr>
            <w:rFonts w:ascii="Verdana" w:hAnsi="Verdana"/>
            <w:noProof/>
            <w:sz w:val="20"/>
            <w:szCs w:val="20"/>
          </w:rPr>
          <w:t>2</w:t>
        </w:r>
        <w:r w:rsidRPr="00F01437">
          <w:rPr>
            <w:rFonts w:ascii="Verdana" w:hAnsi="Verdana"/>
            <w:noProof/>
            <w:sz w:val="20"/>
            <w:szCs w:val="20"/>
          </w:rPr>
          <w:fldChar w:fldCharType="end"/>
        </w:r>
      </w:p>
    </w:sdtContent>
  </w:sdt>
  <w:p w14:paraId="48DAE6E7" w14:textId="77777777" w:rsidR="003F7C90" w:rsidRPr="00F01437" w:rsidRDefault="003F7C90">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37FE" w14:textId="77777777" w:rsidR="009873FF" w:rsidRDefault="009873FF" w:rsidP="003F7C90">
      <w:pPr>
        <w:spacing w:after="0" w:line="240" w:lineRule="auto"/>
      </w:pPr>
      <w:r>
        <w:separator/>
      </w:r>
    </w:p>
  </w:footnote>
  <w:footnote w:type="continuationSeparator" w:id="0">
    <w:p w14:paraId="5E1DF190" w14:textId="77777777" w:rsidR="009873FF" w:rsidRDefault="009873FF" w:rsidP="003F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688C"/>
    <w:multiLevelType w:val="hybridMultilevel"/>
    <w:tmpl w:val="0B003A14"/>
    <w:lvl w:ilvl="0" w:tplc="5BCE4600">
      <w:start w:val="1"/>
      <w:numFmt w:val="decimal"/>
      <w:lvlText w:val="%1."/>
      <w:lvlJc w:val="left"/>
      <w:rPr>
        <w:rFonts w:ascii="Verdana" w:eastAsia="Calibri" w:hAnsi="Verdana"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FC7217"/>
    <w:multiLevelType w:val="hybridMultilevel"/>
    <w:tmpl w:val="72B629E6"/>
    <w:lvl w:ilvl="0" w:tplc="E098A536">
      <w:start w:val="1"/>
      <w:numFmt w:val="decimal"/>
      <w:lvlText w:val="%1."/>
      <w:lvlJc w:val="left"/>
      <w:pPr>
        <w:ind w:left="720" w:hanging="360"/>
      </w:pPr>
      <w:rPr>
        <w:rFonts w:hint="default"/>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95099"/>
    <w:multiLevelType w:val="hybridMultilevel"/>
    <w:tmpl w:val="1732228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8426C5"/>
    <w:multiLevelType w:val="hybridMultilevel"/>
    <w:tmpl w:val="B62A21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425D55"/>
    <w:multiLevelType w:val="hybridMultilevel"/>
    <w:tmpl w:val="6FC2FFAE"/>
    <w:lvl w:ilvl="0" w:tplc="822AF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F135D"/>
    <w:multiLevelType w:val="multilevel"/>
    <w:tmpl w:val="96E44232"/>
    <w:lvl w:ilvl="0">
      <w:start w:val="1"/>
      <w:numFmt w:val="decimal"/>
      <w:suff w:val="space"/>
      <w:lvlText w:val="%1."/>
      <w:lvlJc w:val="left"/>
      <w:pPr>
        <w:ind w:left="284" w:firstLine="0"/>
      </w:pPr>
      <w:rPr>
        <w:rFonts w:hint="default"/>
        <w:b w:val="0"/>
        <w:bCs w:val="0"/>
      </w:rPr>
    </w:lvl>
    <w:lvl w:ilvl="1">
      <w:start w:val="1"/>
      <w:numFmt w:val="decimal"/>
      <w:suff w:val="space"/>
      <w:lvlText w:val="%1.%2. "/>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418" w:firstLine="0"/>
      </w:pPr>
      <w:rPr>
        <w:rFonts w:hint="default"/>
      </w:rPr>
    </w:lvl>
    <w:lvl w:ilvl="5">
      <w:start w:val="1"/>
      <w:numFmt w:val="lowerRoman"/>
      <w:lvlText w:val="%6."/>
      <w:lvlJc w:val="left"/>
      <w:pPr>
        <w:ind w:left="994" w:hanging="284"/>
      </w:pPr>
      <w:rPr>
        <w:rFonts w:hint="default"/>
      </w:rPr>
    </w:lvl>
    <w:lvl w:ilvl="6">
      <w:start w:val="1"/>
      <w:numFmt w:val="decimal"/>
      <w:lvlText w:val="%7."/>
      <w:lvlJc w:val="left"/>
      <w:pPr>
        <w:ind w:left="1136" w:hanging="284"/>
      </w:pPr>
      <w:rPr>
        <w:rFonts w:hint="default"/>
      </w:rPr>
    </w:lvl>
    <w:lvl w:ilvl="7">
      <w:start w:val="1"/>
      <w:numFmt w:val="lowerLetter"/>
      <w:lvlText w:val="%8."/>
      <w:lvlJc w:val="left"/>
      <w:pPr>
        <w:ind w:left="1278" w:hanging="284"/>
      </w:pPr>
      <w:rPr>
        <w:rFonts w:hint="default"/>
      </w:rPr>
    </w:lvl>
    <w:lvl w:ilvl="8">
      <w:start w:val="1"/>
      <w:numFmt w:val="lowerRoman"/>
      <w:lvlText w:val="%9."/>
      <w:lvlJc w:val="left"/>
      <w:pPr>
        <w:ind w:left="1420" w:hanging="284"/>
      </w:pPr>
      <w:rPr>
        <w:rFonts w:hint="default"/>
      </w:rPr>
    </w:lvl>
  </w:abstractNum>
  <w:num w:numId="1" w16cid:durableId="1834179997">
    <w:abstractNumId w:val="5"/>
  </w:num>
  <w:num w:numId="2" w16cid:durableId="531696744">
    <w:abstractNumId w:val="0"/>
  </w:num>
  <w:num w:numId="3" w16cid:durableId="2030443519">
    <w:abstractNumId w:val="4"/>
  </w:num>
  <w:num w:numId="4" w16cid:durableId="875972419">
    <w:abstractNumId w:val="1"/>
  </w:num>
  <w:num w:numId="5" w16cid:durableId="227035049">
    <w:abstractNumId w:val="2"/>
  </w:num>
  <w:num w:numId="6" w16cid:durableId="1790709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9E"/>
    <w:rsid w:val="00000166"/>
    <w:rsid w:val="00004F3D"/>
    <w:rsid w:val="000060A3"/>
    <w:rsid w:val="0002551D"/>
    <w:rsid w:val="000300CA"/>
    <w:rsid w:val="0003057A"/>
    <w:rsid w:val="00035D31"/>
    <w:rsid w:val="000603B1"/>
    <w:rsid w:val="0006709D"/>
    <w:rsid w:val="00081D6D"/>
    <w:rsid w:val="00092461"/>
    <w:rsid w:val="000A042C"/>
    <w:rsid w:val="000A11DF"/>
    <w:rsid w:val="000A3761"/>
    <w:rsid w:val="000A6410"/>
    <w:rsid w:val="000A77F0"/>
    <w:rsid w:val="000B5C42"/>
    <w:rsid w:val="000B672E"/>
    <w:rsid w:val="000B72A4"/>
    <w:rsid w:val="000C3201"/>
    <w:rsid w:val="000D18A8"/>
    <w:rsid w:val="000D38EA"/>
    <w:rsid w:val="000E7173"/>
    <w:rsid w:val="000F4590"/>
    <w:rsid w:val="001124BD"/>
    <w:rsid w:val="00114A0A"/>
    <w:rsid w:val="00122417"/>
    <w:rsid w:val="001371B1"/>
    <w:rsid w:val="00140B3E"/>
    <w:rsid w:val="00142403"/>
    <w:rsid w:val="00151489"/>
    <w:rsid w:val="0015521E"/>
    <w:rsid w:val="0016093B"/>
    <w:rsid w:val="00164908"/>
    <w:rsid w:val="0016780B"/>
    <w:rsid w:val="00182843"/>
    <w:rsid w:val="00183F06"/>
    <w:rsid w:val="00195A2E"/>
    <w:rsid w:val="001A14F3"/>
    <w:rsid w:val="001A7E3F"/>
    <w:rsid w:val="001C300D"/>
    <w:rsid w:val="001E3A90"/>
    <w:rsid w:val="001F781F"/>
    <w:rsid w:val="00204163"/>
    <w:rsid w:val="0021663F"/>
    <w:rsid w:val="00222659"/>
    <w:rsid w:val="00224DED"/>
    <w:rsid w:val="002330C9"/>
    <w:rsid w:val="00234EAC"/>
    <w:rsid w:val="00240073"/>
    <w:rsid w:val="00246DAD"/>
    <w:rsid w:val="00253F8D"/>
    <w:rsid w:val="00265D7A"/>
    <w:rsid w:val="00267EDA"/>
    <w:rsid w:val="00272D9D"/>
    <w:rsid w:val="00274E58"/>
    <w:rsid w:val="00284E74"/>
    <w:rsid w:val="0029222A"/>
    <w:rsid w:val="00294E7B"/>
    <w:rsid w:val="002D5D6E"/>
    <w:rsid w:val="002F216A"/>
    <w:rsid w:val="002F4E92"/>
    <w:rsid w:val="002F6356"/>
    <w:rsid w:val="0031225D"/>
    <w:rsid w:val="00330494"/>
    <w:rsid w:val="00332687"/>
    <w:rsid w:val="00346D30"/>
    <w:rsid w:val="00350F55"/>
    <w:rsid w:val="00350F59"/>
    <w:rsid w:val="00357B9B"/>
    <w:rsid w:val="003629C8"/>
    <w:rsid w:val="003719D6"/>
    <w:rsid w:val="0038465F"/>
    <w:rsid w:val="00397C4C"/>
    <w:rsid w:val="003A50E0"/>
    <w:rsid w:val="003A542A"/>
    <w:rsid w:val="003A6539"/>
    <w:rsid w:val="003B14AF"/>
    <w:rsid w:val="003C0CDA"/>
    <w:rsid w:val="003D1FEE"/>
    <w:rsid w:val="003E79A8"/>
    <w:rsid w:val="003F0BEB"/>
    <w:rsid w:val="003F1568"/>
    <w:rsid w:val="003F1728"/>
    <w:rsid w:val="003F7C90"/>
    <w:rsid w:val="004070B9"/>
    <w:rsid w:val="00411290"/>
    <w:rsid w:val="004112A2"/>
    <w:rsid w:val="0041177F"/>
    <w:rsid w:val="00412CF3"/>
    <w:rsid w:val="0041355E"/>
    <w:rsid w:val="004167EF"/>
    <w:rsid w:val="004375DB"/>
    <w:rsid w:val="00447404"/>
    <w:rsid w:val="0044744E"/>
    <w:rsid w:val="00450B0C"/>
    <w:rsid w:val="0046245E"/>
    <w:rsid w:val="00463A1C"/>
    <w:rsid w:val="0046604F"/>
    <w:rsid w:val="00473044"/>
    <w:rsid w:val="004731D8"/>
    <w:rsid w:val="004901BD"/>
    <w:rsid w:val="004930E7"/>
    <w:rsid w:val="004A19D7"/>
    <w:rsid w:val="004A7647"/>
    <w:rsid w:val="004D3176"/>
    <w:rsid w:val="0050376A"/>
    <w:rsid w:val="0050461E"/>
    <w:rsid w:val="00507E66"/>
    <w:rsid w:val="00512755"/>
    <w:rsid w:val="005163A2"/>
    <w:rsid w:val="0052324F"/>
    <w:rsid w:val="00535C35"/>
    <w:rsid w:val="00540C74"/>
    <w:rsid w:val="005462D7"/>
    <w:rsid w:val="00546846"/>
    <w:rsid w:val="00550160"/>
    <w:rsid w:val="0055063B"/>
    <w:rsid w:val="00572C24"/>
    <w:rsid w:val="00573702"/>
    <w:rsid w:val="0057526F"/>
    <w:rsid w:val="00577B76"/>
    <w:rsid w:val="005821BA"/>
    <w:rsid w:val="00585FA0"/>
    <w:rsid w:val="00595DA7"/>
    <w:rsid w:val="00596B51"/>
    <w:rsid w:val="00597DCF"/>
    <w:rsid w:val="005A2D21"/>
    <w:rsid w:val="005A36A9"/>
    <w:rsid w:val="005A7F49"/>
    <w:rsid w:val="005C4D2C"/>
    <w:rsid w:val="005C7784"/>
    <w:rsid w:val="005D5A7A"/>
    <w:rsid w:val="005D60E5"/>
    <w:rsid w:val="005E7098"/>
    <w:rsid w:val="005E7DCB"/>
    <w:rsid w:val="005F00F6"/>
    <w:rsid w:val="005F0226"/>
    <w:rsid w:val="005F14C5"/>
    <w:rsid w:val="005F15B7"/>
    <w:rsid w:val="00600CD5"/>
    <w:rsid w:val="00601C8E"/>
    <w:rsid w:val="00605DA8"/>
    <w:rsid w:val="00623AEB"/>
    <w:rsid w:val="0064243D"/>
    <w:rsid w:val="00643D4E"/>
    <w:rsid w:val="00653D75"/>
    <w:rsid w:val="00662611"/>
    <w:rsid w:val="00672C91"/>
    <w:rsid w:val="00676499"/>
    <w:rsid w:val="00676D9A"/>
    <w:rsid w:val="006807E0"/>
    <w:rsid w:val="00681AB2"/>
    <w:rsid w:val="006912C0"/>
    <w:rsid w:val="00691351"/>
    <w:rsid w:val="006A021E"/>
    <w:rsid w:val="006A518D"/>
    <w:rsid w:val="006B2876"/>
    <w:rsid w:val="006B2BD5"/>
    <w:rsid w:val="006B59D7"/>
    <w:rsid w:val="006C2AAA"/>
    <w:rsid w:val="006C6DFF"/>
    <w:rsid w:val="006D31CA"/>
    <w:rsid w:val="006E4F4A"/>
    <w:rsid w:val="006E5666"/>
    <w:rsid w:val="006E7F71"/>
    <w:rsid w:val="00704869"/>
    <w:rsid w:val="00726C97"/>
    <w:rsid w:val="007310AF"/>
    <w:rsid w:val="0073345A"/>
    <w:rsid w:val="00737F97"/>
    <w:rsid w:val="00743991"/>
    <w:rsid w:val="00743C57"/>
    <w:rsid w:val="0074430C"/>
    <w:rsid w:val="007454EF"/>
    <w:rsid w:val="0075549E"/>
    <w:rsid w:val="00767F48"/>
    <w:rsid w:val="00776CAF"/>
    <w:rsid w:val="0078722A"/>
    <w:rsid w:val="00790DA4"/>
    <w:rsid w:val="00792C62"/>
    <w:rsid w:val="007A368B"/>
    <w:rsid w:val="007B5343"/>
    <w:rsid w:val="007C0B29"/>
    <w:rsid w:val="007C67A1"/>
    <w:rsid w:val="007D22E4"/>
    <w:rsid w:val="007D553A"/>
    <w:rsid w:val="007F6AF2"/>
    <w:rsid w:val="00801695"/>
    <w:rsid w:val="00811AE3"/>
    <w:rsid w:val="00813BAF"/>
    <w:rsid w:val="00837AC8"/>
    <w:rsid w:val="00851A6A"/>
    <w:rsid w:val="00852D22"/>
    <w:rsid w:val="008569B5"/>
    <w:rsid w:val="00862D81"/>
    <w:rsid w:val="00872AD5"/>
    <w:rsid w:val="00874FB9"/>
    <w:rsid w:val="00877468"/>
    <w:rsid w:val="00881CE0"/>
    <w:rsid w:val="008936E1"/>
    <w:rsid w:val="00894E04"/>
    <w:rsid w:val="008A01B6"/>
    <w:rsid w:val="008A05B9"/>
    <w:rsid w:val="008A0980"/>
    <w:rsid w:val="008B6F84"/>
    <w:rsid w:val="008C2642"/>
    <w:rsid w:val="008C3F62"/>
    <w:rsid w:val="008D1C4D"/>
    <w:rsid w:val="008F5138"/>
    <w:rsid w:val="009009AE"/>
    <w:rsid w:val="009044B7"/>
    <w:rsid w:val="009068ED"/>
    <w:rsid w:val="0091552B"/>
    <w:rsid w:val="00921110"/>
    <w:rsid w:val="009220F5"/>
    <w:rsid w:val="00924A13"/>
    <w:rsid w:val="00931813"/>
    <w:rsid w:val="009346DA"/>
    <w:rsid w:val="00951109"/>
    <w:rsid w:val="00955A36"/>
    <w:rsid w:val="009609BE"/>
    <w:rsid w:val="00964B35"/>
    <w:rsid w:val="009724FE"/>
    <w:rsid w:val="00981ECB"/>
    <w:rsid w:val="009873FF"/>
    <w:rsid w:val="00991D36"/>
    <w:rsid w:val="00992C74"/>
    <w:rsid w:val="00994EA5"/>
    <w:rsid w:val="0099689B"/>
    <w:rsid w:val="00996CAA"/>
    <w:rsid w:val="00997851"/>
    <w:rsid w:val="009A371B"/>
    <w:rsid w:val="009A79BA"/>
    <w:rsid w:val="009C319E"/>
    <w:rsid w:val="009D0E5E"/>
    <w:rsid w:val="009F25E7"/>
    <w:rsid w:val="009F427C"/>
    <w:rsid w:val="00A04216"/>
    <w:rsid w:val="00A10E5F"/>
    <w:rsid w:val="00A138A9"/>
    <w:rsid w:val="00A22E40"/>
    <w:rsid w:val="00A36091"/>
    <w:rsid w:val="00A41448"/>
    <w:rsid w:val="00A60BD8"/>
    <w:rsid w:val="00A83370"/>
    <w:rsid w:val="00A85AC9"/>
    <w:rsid w:val="00A91F35"/>
    <w:rsid w:val="00A945B0"/>
    <w:rsid w:val="00A9460D"/>
    <w:rsid w:val="00AA4867"/>
    <w:rsid w:val="00AB1C85"/>
    <w:rsid w:val="00AB50E9"/>
    <w:rsid w:val="00AB629D"/>
    <w:rsid w:val="00AC45A1"/>
    <w:rsid w:val="00AC4D28"/>
    <w:rsid w:val="00AC5502"/>
    <w:rsid w:val="00AC5A81"/>
    <w:rsid w:val="00AD2DAF"/>
    <w:rsid w:val="00AD3537"/>
    <w:rsid w:val="00AE3227"/>
    <w:rsid w:val="00AE4AA5"/>
    <w:rsid w:val="00AF2D64"/>
    <w:rsid w:val="00AF3201"/>
    <w:rsid w:val="00B0278B"/>
    <w:rsid w:val="00B05116"/>
    <w:rsid w:val="00B26FAA"/>
    <w:rsid w:val="00B35C6D"/>
    <w:rsid w:val="00B40DC6"/>
    <w:rsid w:val="00B42B80"/>
    <w:rsid w:val="00B47205"/>
    <w:rsid w:val="00B524AF"/>
    <w:rsid w:val="00B851B8"/>
    <w:rsid w:val="00BB3C98"/>
    <w:rsid w:val="00BC1A7E"/>
    <w:rsid w:val="00BC2A8D"/>
    <w:rsid w:val="00BE6119"/>
    <w:rsid w:val="00C11E74"/>
    <w:rsid w:val="00C20DC2"/>
    <w:rsid w:val="00C25834"/>
    <w:rsid w:val="00C37AA3"/>
    <w:rsid w:val="00C758F5"/>
    <w:rsid w:val="00C856CE"/>
    <w:rsid w:val="00C90663"/>
    <w:rsid w:val="00C9156C"/>
    <w:rsid w:val="00C92C39"/>
    <w:rsid w:val="00C95889"/>
    <w:rsid w:val="00CB1E0D"/>
    <w:rsid w:val="00CB3237"/>
    <w:rsid w:val="00CB3283"/>
    <w:rsid w:val="00CC3489"/>
    <w:rsid w:val="00CD14FE"/>
    <w:rsid w:val="00CD4B54"/>
    <w:rsid w:val="00CD51F4"/>
    <w:rsid w:val="00CF299E"/>
    <w:rsid w:val="00CF612B"/>
    <w:rsid w:val="00CF652E"/>
    <w:rsid w:val="00D01F3F"/>
    <w:rsid w:val="00D073B8"/>
    <w:rsid w:val="00D11E26"/>
    <w:rsid w:val="00D14BC4"/>
    <w:rsid w:val="00D21942"/>
    <w:rsid w:val="00D23984"/>
    <w:rsid w:val="00D26FFC"/>
    <w:rsid w:val="00D33E1B"/>
    <w:rsid w:val="00D448BF"/>
    <w:rsid w:val="00D4578A"/>
    <w:rsid w:val="00D46D03"/>
    <w:rsid w:val="00D52288"/>
    <w:rsid w:val="00D631D2"/>
    <w:rsid w:val="00D751EE"/>
    <w:rsid w:val="00D85B5C"/>
    <w:rsid w:val="00D86825"/>
    <w:rsid w:val="00D92381"/>
    <w:rsid w:val="00D94595"/>
    <w:rsid w:val="00DA2910"/>
    <w:rsid w:val="00DA3979"/>
    <w:rsid w:val="00DB54DB"/>
    <w:rsid w:val="00DC0430"/>
    <w:rsid w:val="00DC31EC"/>
    <w:rsid w:val="00DC51E5"/>
    <w:rsid w:val="00DD24D1"/>
    <w:rsid w:val="00DD3899"/>
    <w:rsid w:val="00DE20BA"/>
    <w:rsid w:val="00DF125D"/>
    <w:rsid w:val="00DF50FE"/>
    <w:rsid w:val="00DF6C8A"/>
    <w:rsid w:val="00E0118A"/>
    <w:rsid w:val="00E1701A"/>
    <w:rsid w:val="00E17B57"/>
    <w:rsid w:val="00E205B7"/>
    <w:rsid w:val="00E2152C"/>
    <w:rsid w:val="00E4353D"/>
    <w:rsid w:val="00E44156"/>
    <w:rsid w:val="00E450F6"/>
    <w:rsid w:val="00E52153"/>
    <w:rsid w:val="00E53F72"/>
    <w:rsid w:val="00E57B00"/>
    <w:rsid w:val="00E7176F"/>
    <w:rsid w:val="00E74B6F"/>
    <w:rsid w:val="00E77ACC"/>
    <w:rsid w:val="00E86E3D"/>
    <w:rsid w:val="00E9030B"/>
    <w:rsid w:val="00EA518F"/>
    <w:rsid w:val="00EB469B"/>
    <w:rsid w:val="00ED494A"/>
    <w:rsid w:val="00EF7AD3"/>
    <w:rsid w:val="00F01437"/>
    <w:rsid w:val="00F0589A"/>
    <w:rsid w:val="00F10A08"/>
    <w:rsid w:val="00F12329"/>
    <w:rsid w:val="00F12457"/>
    <w:rsid w:val="00F1785C"/>
    <w:rsid w:val="00F2435D"/>
    <w:rsid w:val="00F26D36"/>
    <w:rsid w:val="00F34FFC"/>
    <w:rsid w:val="00F35271"/>
    <w:rsid w:val="00F41EF1"/>
    <w:rsid w:val="00F44FC9"/>
    <w:rsid w:val="00F4706D"/>
    <w:rsid w:val="00F64D22"/>
    <w:rsid w:val="00F7324D"/>
    <w:rsid w:val="00F738BB"/>
    <w:rsid w:val="00F9581B"/>
    <w:rsid w:val="00F9793A"/>
    <w:rsid w:val="00FA11CC"/>
    <w:rsid w:val="00FB0115"/>
    <w:rsid w:val="00FB3A3F"/>
    <w:rsid w:val="00FB451C"/>
    <w:rsid w:val="00FD02BD"/>
    <w:rsid w:val="00FD2EF0"/>
    <w:rsid w:val="00FD765E"/>
    <w:rsid w:val="00FF3AFE"/>
    <w:rsid w:val="00FF5369"/>
    <w:rsid w:val="00FF74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4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4BD"/>
    <w:rPr>
      <w:color w:val="0563C1" w:themeColor="hyperlink"/>
      <w:u w:val="single"/>
    </w:rPr>
  </w:style>
  <w:style w:type="character" w:styleId="UnresolvedMention">
    <w:name w:val="Unresolved Mention"/>
    <w:basedOn w:val="DefaultParagraphFont"/>
    <w:uiPriority w:val="99"/>
    <w:semiHidden/>
    <w:unhideWhenUsed/>
    <w:rsid w:val="001124BD"/>
    <w:rPr>
      <w:color w:val="605E5C"/>
      <w:shd w:val="clear" w:color="auto" w:fill="E1DFDD"/>
    </w:rPr>
  </w:style>
  <w:style w:type="paragraph" w:styleId="Header">
    <w:name w:val="header"/>
    <w:basedOn w:val="Normal"/>
    <w:link w:val="HeaderChar"/>
    <w:uiPriority w:val="99"/>
    <w:unhideWhenUsed/>
    <w:rsid w:val="003F7C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7C90"/>
  </w:style>
  <w:style w:type="paragraph" w:styleId="Footer">
    <w:name w:val="footer"/>
    <w:basedOn w:val="Normal"/>
    <w:link w:val="FooterChar"/>
    <w:uiPriority w:val="99"/>
    <w:unhideWhenUsed/>
    <w:rsid w:val="003F7C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7C90"/>
  </w:style>
  <w:style w:type="character" w:styleId="CommentReference">
    <w:name w:val="annotation reference"/>
    <w:basedOn w:val="DefaultParagraphFont"/>
    <w:uiPriority w:val="99"/>
    <w:semiHidden/>
    <w:unhideWhenUsed/>
    <w:rsid w:val="00FF74FE"/>
    <w:rPr>
      <w:sz w:val="16"/>
      <w:szCs w:val="16"/>
    </w:rPr>
  </w:style>
  <w:style w:type="paragraph" w:styleId="CommentText">
    <w:name w:val="annotation text"/>
    <w:basedOn w:val="Normal"/>
    <w:link w:val="CommentTextChar"/>
    <w:uiPriority w:val="99"/>
    <w:unhideWhenUsed/>
    <w:rsid w:val="00FF74FE"/>
    <w:pPr>
      <w:spacing w:line="240" w:lineRule="auto"/>
    </w:pPr>
    <w:rPr>
      <w:sz w:val="20"/>
      <w:szCs w:val="20"/>
    </w:rPr>
  </w:style>
  <w:style w:type="character" w:customStyle="1" w:styleId="CommentTextChar">
    <w:name w:val="Comment Text Char"/>
    <w:basedOn w:val="DefaultParagraphFont"/>
    <w:link w:val="CommentText"/>
    <w:uiPriority w:val="99"/>
    <w:rsid w:val="00FF74FE"/>
    <w:rPr>
      <w:sz w:val="20"/>
      <w:szCs w:val="20"/>
    </w:rPr>
  </w:style>
  <w:style w:type="paragraph" w:styleId="CommentSubject">
    <w:name w:val="annotation subject"/>
    <w:basedOn w:val="CommentText"/>
    <w:next w:val="CommentText"/>
    <w:link w:val="CommentSubjectChar"/>
    <w:uiPriority w:val="99"/>
    <w:semiHidden/>
    <w:unhideWhenUsed/>
    <w:rsid w:val="00FF74FE"/>
    <w:rPr>
      <w:b/>
      <w:bCs/>
    </w:rPr>
  </w:style>
  <w:style w:type="character" w:customStyle="1" w:styleId="CommentSubjectChar">
    <w:name w:val="Comment Subject Char"/>
    <w:basedOn w:val="CommentTextChar"/>
    <w:link w:val="CommentSubject"/>
    <w:uiPriority w:val="99"/>
    <w:semiHidden/>
    <w:rsid w:val="00FF74FE"/>
    <w:rPr>
      <w:b/>
      <w:bCs/>
      <w:sz w:val="20"/>
      <w:szCs w:val="20"/>
    </w:rPr>
  </w:style>
  <w:style w:type="paragraph" w:styleId="ListParagraph">
    <w:name w:val="List Paragraph"/>
    <w:basedOn w:val="Normal"/>
    <w:uiPriority w:val="34"/>
    <w:qFormat/>
    <w:rsid w:val="00894E04"/>
    <w:pPr>
      <w:ind w:left="720"/>
      <w:contextualSpacing/>
    </w:pPr>
  </w:style>
  <w:style w:type="paragraph" w:styleId="FootnoteText">
    <w:name w:val="footnote text"/>
    <w:basedOn w:val="Normal"/>
    <w:link w:val="FootnoteTextChar"/>
    <w:uiPriority w:val="99"/>
    <w:semiHidden/>
    <w:unhideWhenUsed/>
    <w:rsid w:val="003E7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9A8"/>
    <w:rPr>
      <w:sz w:val="20"/>
      <w:szCs w:val="20"/>
    </w:rPr>
  </w:style>
  <w:style w:type="character" w:styleId="FootnoteReference">
    <w:name w:val="footnote reference"/>
    <w:basedOn w:val="DefaultParagraphFont"/>
    <w:uiPriority w:val="99"/>
    <w:semiHidden/>
    <w:unhideWhenUsed/>
    <w:rsid w:val="003E79A8"/>
    <w:rPr>
      <w:vertAlign w:val="superscript"/>
    </w:rPr>
  </w:style>
  <w:style w:type="table" w:styleId="TableGrid">
    <w:name w:val="Table Grid"/>
    <w:basedOn w:val="TableNormal"/>
    <w:uiPriority w:val="39"/>
    <w:rsid w:val="00F9793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6E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6E3D"/>
    <w:rPr>
      <w:sz w:val="20"/>
      <w:szCs w:val="20"/>
    </w:rPr>
  </w:style>
  <w:style w:type="character" w:styleId="EndnoteReference">
    <w:name w:val="endnote reference"/>
    <w:basedOn w:val="DefaultParagraphFont"/>
    <w:uiPriority w:val="99"/>
    <w:semiHidden/>
    <w:unhideWhenUsed/>
    <w:rsid w:val="00E86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96A1-4049-4B91-A84B-4C7FFFB3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6768</Words>
  <Characters>3858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2024-02-21T07:48:00Z</dcterms:created>
  <dcterms:modified xsi:type="dcterms:W3CDTF">2024-03-14T06:29:00Z</dcterms:modified>
</cp:coreProperties>
</file>