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00F" w14:textId="6BDFCEED" w:rsidR="00E91342" w:rsidRDefault="009E2A95" w:rsidP="009E2A95">
      <w:pPr>
        <w:jc w:val="center"/>
        <w:rPr>
          <w:lang w:val="lv-LV"/>
        </w:rPr>
      </w:pPr>
      <w:r>
        <w:rPr>
          <w:lang w:val="lv-LV"/>
        </w:rPr>
        <w:t>Iepirkumu procedūra</w:t>
      </w:r>
    </w:p>
    <w:p w14:paraId="2CBF7153" w14:textId="37935149" w:rsidR="009E2A95" w:rsidRPr="009E2A95" w:rsidRDefault="009E2A95" w:rsidP="009E2A95">
      <w:pPr>
        <w:jc w:val="center"/>
        <w:rPr>
          <w:b/>
          <w:lang w:val="lv-LV"/>
        </w:rPr>
      </w:pPr>
      <w:bookmarkStart w:id="0" w:name="_Hlk3294787"/>
      <w:r w:rsidRPr="009E2A95">
        <w:rPr>
          <w:b/>
          <w:lang w:val="lv-LV"/>
        </w:rPr>
        <w:t>“Būvdarbu veikšana Eiropas Savienības Kohēzijas fonda projekta “Ūdensapgādes un kanalizācijas sistēmas attīstība Judovkas rajonā, Daugavpilī” ietvaros (SAM 5.3.1.)”</w:t>
      </w:r>
    </w:p>
    <w:bookmarkEnd w:id="0"/>
    <w:p w14:paraId="4AE07E9B" w14:textId="77777777" w:rsidR="009E2A95" w:rsidRDefault="009E2A95" w:rsidP="009E2A95">
      <w:pPr>
        <w:spacing w:after="160" w:line="259" w:lineRule="auto"/>
        <w:jc w:val="center"/>
        <w:rPr>
          <w:bCs/>
          <w:iCs/>
        </w:rPr>
      </w:pPr>
      <w:r w:rsidRPr="0046401B">
        <w:rPr>
          <w:bCs/>
          <w:iCs/>
        </w:rPr>
        <w:t>identifikācijas Nr. DŪ-2019/3</w:t>
      </w:r>
    </w:p>
    <w:p w14:paraId="49426324" w14:textId="77777777" w:rsidR="00674549" w:rsidRDefault="00674549" w:rsidP="009E2A95">
      <w:pPr>
        <w:spacing w:after="160" w:line="259" w:lineRule="auto"/>
        <w:rPr>
          <w:rFonts w:eastAsia="Calibri"/>
          <w:bCs/>
          <w:iCs/>
          <w:szCs w:val="28"/>
          <w:lang w:val="lv-LV"/>
        </w:rPr>
      </w:pPr>
    </w:p>
    <w:p w14:paraId="1A1DBC86" w14:textId="681E863F" w:rsidR="00AF703D" w:rsidRPr="00262693" w:rsidRDefault="009D5F51" w:rsidP="009E2A95">
      <w:pPr>
        <w:spacing w:after="160" w:line="259" w:lineRule="auto"/>
        <w:rPr>
          <w:rFonts w:eastAsia="Calibri"/>
          <w:bCs/>
          <w:iCs/>
          <w:color w:val="FF0000"/>
          <w:szCs w:val="28"/>
          <w:lang w:val="lv-LV"/>
        </w:rPr>
      </w:pPr>
      <w:r>
        <w:rPr>
          <w:rFonts w:eastAsia="Calibri"/>
          <w:bCs/>
          <w:iCs/>
          <w:szCs w:val="28"/>
          <w:lang w:val="lv-LV"/>
        </w:rPr>
        <w:t>Daugavpilī, 201</w:t>
      </w:r>
      <w:r w:rsidR="00A04605">
        <w:rPr>
          <w:rFonts w:eastAsia="Calibri"/>
          <w:bCs/>
          <w:iCs/>
          <w:szCs w:val="28"/>
          <w:lang w:val="lv-LV"/>
        </w:rPr>
        <w:t>9</w:t>
      </w:r>
      <w:r>
        <w:rPr>
          <w:rFonts w:eastAsia="Calibri"/>
          <w:bCs/>
          <w:iCs/>
          <w:szCs w:val="28"/>
          <w:lang w:val="lv-LV"/>
        </w:rPr>
        <w:t xml:space="preserve">.gada </w:t>
      </w:r>
      <w:r w:rsidR="004750AF">
        <w:rPr>
          <w:rFonts w:eastAsia="Calibri"/>
          <w:bCs/>
          <w:iCs/>
          <w:szCs w:val="28"/>
          <w:lang w:val="lv-LV"/>
        </w:rPr>
        <w:t>9</w:t>
      </w:r>
      <w:r w:rsidR="00A04605" w:rsidRPr="00B670E3">
        <w:rPr>
          <w:rFonts w:eastAsia="Calibri"/>
          <w:bCs/>
          <w:iCs/>
          <w:szCs w:val="28"/>
          <w:lang w:val="lv-LV"/>
        </w:rPr>
        <w:t>.</w:t>
      </w:r>
      <w:r w:rsidR="005C3B12" w:rsidRPr="00B670E3">
        <w:rPr>
          <w:rFonts w:eastAsia="Calibri"/>
          <w:bCs/>
          <w:iCs/>
          <w:szCs w:val="28"/>
          <w:lang w:val="lv-LV"/>
        </w:rPr>
        <w:t xml:space="preserve"> </w:t>
      </w:r>
      <w:r w:rsidR="007718BC" w:rsidRPr="00B670E3">
        <w:rPr>
          <w:rFonts w:eastAsia="Calibri"/>
          <w:bCs/>
          <w:iCs/>
          <w:szCs w:val="28"/>
          <w:lang w:val="lv-LV"/>
        </w:rPr>
        <w:t>aprīlī</w:t>
      </w:r>
    </w:p>
    <w:p w14:paraId="0DC18958" w14:textId="0E987554" w:rsidR="00E91342" w:rsidRPr="00AF703D" w:rsidRDefault="009D5F51" w:rsidP="00E4051A">
      <w:pPr>
        <w:pStyle w:val="Standard"/>
        <w:ind w:right="4618"/>
        <w:rPr>
          <w:b/>
          <w:lang w:val="lv-LV"/>
        </w:rPr>
      </w:pPr>
      <w:r>
        <w:rPr>
          <w:b/>
          <w:lang w:val="lv-LV"/>
        </w:rPr>
        <w:t>Papildus informācija Nr.</w:t>
      </w:r>
      <w:r w:rsidR="00B53BA5">
        <w:rPr>
          <w:b/>
          <w:lang w:val="lv-LV"/>
        </w:rPr>
        <w:t>4</w:t>
      </w:r>
      <w:r w:rsidR="00E91342" w:rsidRPr="00AF703D">
        <w:rPr>
          <w:b/>
          <w:lang w:val="lv-LV"/>
        </w:rPr>
        <w:tab/>
      </w:r>
    </w:p>
    <w:p w14:paraId="54BEA719" w14:textId="77777777" w:rsidR="002A5CCD" w:rsidRPr="002A5CCD" w:rsidRDefault="002A5CCD" w:rsidP="002A5CCD">
      <w:pPr>
        <w:pStyle w:val="Standard"/>
        <w:rPr>
          <w:noProof/>
          <w:lang w:val="lv-LV" w:eastAsia="lv-LV"/>
        </w:rPr>
      </w:pPr>
    </w:p>
    <w:p w14:paraId="311D486B" w14:textId="2FDB0278" w:rsidR="00E91342" w:rsidRDefault="002A5CCD" w:rsidP="00AF703D">
      <w:pPr>
        <w:jc w:val="both"/>
        <w:rPr>
          <w:lang w:val="lv-LV" w:eastAsia="lv-LV"/>
        </w:rPr>
      </w:pPr>
      <w:r w:rsidRPr="002A5CCD">
        <w:rPr>
          <w:noProof/>
          <w:lang w:val="lv-LV" w:eastAsia="lv-LV"/>
        </w:rPr>
        <w:tab/>
      </w:r>
      <w:r w:rsidR="00AF703D" w:rsidRPr="00AF703D">
        <w:rPr>
          <w:lang w:val="lv-LV" w:eastAsia="lv-LV"/>
        </w:rPr>
        <w:t>Iepirkumu komisij</w:t>
      </w:r>
      <w:r w:rsidR="00B31AA2">
        <w:rPr>
          <w:lang w:val="lv-LV" w:eastAsia="lv-LV"/>
        </w:rPr>
        <w:t>a sniedz atbildi uz ieinteresētā piegādātāja iesniegt</w:t>
      </w:r>
      <w:r w:rsidR="009E2A95">
        <w:rPr>
          <w:lang w:val="lv-LV" w:eastAsia="lv-LV"/>
        </w:rPr>
        <w:t>o</w:t>
      </w:r>
      <w:r w:rsidR="00B31AA2">
        <w:rPr>
          <w:lang w:val="lv-LV" w:eastAsia="lv-LV"/>
        </w:rPr>
        <w:t xml:space="preserve"> jautājum</w:t>
      </w:r>
      <w:r w:rsidR="009E2A95">
        <w:rPr>
          <w:lang w:val="lv-LV" w:eastAsia="lv-LV"/>
        </w:rPr>
        <w:t>u</w:t>
      </w:r>
      <w:r w:rsidR="00AF703D" w:rsidRPr="00AF703D">
        <w:rPr>
          <w:lang w:val="lv-LV" w:eastAsia="lv-LV"/>
        </w:rPr>
        <w:t xml:space="preserve"> iepirkuma procedūras </w:t>
      </w:r>
      <w:bookmarkStart w:id="1" w:name="_Hlk3282082"/>
      <w:r w:rsidR="00A04605" w:rsidRPr="009E2A95">
        <w:rPr>
          <w:bCs/>
          <w:i/>
          <w:szCs w:val="28"/>
          <w:lang w:val="lv-LV"/>
        </w:rPr>
        <w:t>“</w:t>
      </w:r>
      <w:r w:rsidR="009E2A95" w:rsidRPr="009E2A95">
        <w:rPr>
          <w:bCs/>
          <w:i/>
          <w:szCs w:val="28"/>
          <w:lang w:val="lv-LV"/>
        </w:rPr>
        <w:t>Būvdarbu veikšana Eiropas Savienības Kohēzijas fonda projekta “Ūdensapgādes un kanalizācijas sistēmas attīstība Judovkas rajonā, Daugavpilī” ietvaros (SAM 5.3.1.)”</w:t>
      </w:r>
      <w:r w:rsidR="00A04605" w:rsidRPr="00A04605">
        <w:rPr>
          <w:lang w:val="lv-LV"/>
        </w:rPr>
        <w:t xml:space="preserve"> (identifikācijas Nr.DŪ-2019/</w:t>
      </w:r>
      <w:r w:rsidR="009E2A95">
        <w:rPr>
          <w:lang w:val="lv-LV"/>
        </w:rPr>
        <w:t>3</w:t>
      </w:r>
      <w:r w:rsidR="00A04605" w:rsidRPr="00A04605">
        <w:rPr>
          <w:lang w:val="lv-LV"/>
        </w:rPr>
        <w:t>)</w:t>
      </w:r>
      <w:bookmarkEnd w:id="1"/>
      <w:r w:rsidR="00A04605">
        <w:rPr>
          <w:lang w:val="lv-LV"/>
        </w:rPr>
        <w:t xml:space="preserve"> ietvaros</w:t>
      </w:r>
      <w:r w:rsidR="00AF703D" w:rsidRPr="00AF703D">
        <w:rPr>
          <w:lang w:val="lv-LV" w:eastAsia="lv-LV"/>
        </w:rPr>
        <w:t>:</w:t>
      </w:r>
    </w:p>
    <w:p w14:paraId="7FFA9187" w14:textId="4AADE360" w:rsidR="00D24BDD" w:rsidRDefault="00D24BDD" w:rsidP="00AF703D">
      <w:pPr>
        <w:jc w:val="both"/>
        <w:rPr>
          <w:lang w:val="lv-LV" w:eastAsia="lv-LV"/>
        </w:rPr>
      </w:pPr>
    </w:p>
    <w:tbl>
      <w:tblPr>
        <w:tblW w:w="9634" w:type="dxa"/>
        <w:tblLayout w:type="fixed"/>
        <w:tblCellMar>
          <w:left w:w="10" w:type="dxa"/>
          <w:right w:w="10" w:type="dxa"/>
        </w:tblCellMar>
        <w:tblLook w:val="04A0" w:firstRow="1" w:lastRow="0" w:firstColumn="1" w:lastColumn="0" w:noHBand="0" w:noVBand="1"/>
      </w:tblPr>
      <w:tblGrid>
        <w:gridCol w:w="4815"/>
        <w:gridCol w:w="4819"/>
      </w:tblGrid>
      <w:tr w:rsidR="00E1164B" w14:paraId="2A942393" w14:textId="77777777" w:rsidTr="007D50E4">
        <w:trPr>
          <w:trHeight w:val="296"/>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77777777" w:rsidR="00E1164B" w:rsidRDefault="00E1164B" w:rsidP="002A439C">
            <w:pPr>
              <w:spacing w:after="160"/>
              <w:jc w:val="center"/>
            </w:pPr>
            <w:r>
              <w:rPr>
                <w:b/>
              </w:rPr>
              <w:t>Jautājumi:</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77777777" w:rsidR="00E1164B" w:rsidRDefault="00E1164B" w:rsidP="002A439C">
            <w:pPr>
              <w:spacing w:line="480" w:lineRule="auto"/>
              <w:jc w:val="center"/>
            </w:pPr>
            <w:r>
              <w:rPr>
                <w:b/>
              </w:rPr>
              <w:t>Atbildes:</w:t>
            </w:r>
          </w:p>
        </w:tc>
      </w:tr>
      <w:tr w:rsidR="00E1164B" w:rsidRPr="00695A0D" w14:paraId="6FB76ACA" w14:textId="77777777" w:rsidTr="007D50E4">
        <w:trPr>
          <w:trHeight w:val="3434"/>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A4771C" w14:textId="5EB6214B" w:rsidR="000810AF" w:rsidRPr="00B53BA5" w:rsidRDefault="000810AF" w:rsidP="00B53BA5">
            <w:pPr>
              <w:pStyle w:val="NormalWeb"/>
              <w:spacing w:before="0" w:beforeAutospacing="0" w:after="0" w:afterAutospacing="0"/>
              <w:jc w:val="both"/>
              <w:rPr>
                <w:sz w:val="22"/>
                <w:szCs w:val="22"/>
              </w:rPr>
            </w:pPr>
            <w:r w:rsidRPr="00B53BA5">
              <w:rPr>
                <w:sz w:val="22"/>
                <w:szCs w:val="22"/>
              </w:rPr>
              <w:t>1)</w:t>
            </w:r>
            <w:r w:rsidRPr="00B53BA5">
              <w:rPr>
                <w:sz w:val="22"/>
                <w:szCs w:val="22"/>
              </w:rPr>
              <w:tab/>
              <w:t>Nolikuma 6.2.punktā ir noteikts, ka maksimālā izpildes termiņā netiek iekļauts tehnoloģiskais pārtraukums.</w:t>
            </w:r>
          </w:p>
          <w:p w14:paraId="0BF84397" w14:textId="797A2A4F" w:rsidR="00E1164B" w:rsidRPr="00B53BA5" w:rsidRDefault="000810AF" w:rsidP="00B53BA5">
            <w:pPr>
              <w:pStyle w:val="NormalWeb"/>
              <w:spacing w:before="0" w:beforeAutospacing="0" w:after="0" w:afterAutospacing="0"/>
              <w:jc w:val="both"/>
              <w:rPr>
                <w:sz w:val="22"/>
                <w:szCs w:val="22"/>
              </w:rPr>
            </w:pPr>
            <w:r w:rsidRPr="00B53BA5">
              <w:rPr>
                <w:sz w:val="22"/>
                <w:szCs w:val="22"/>
              </w:rPr>
              <w:t>Lai pretendents varētu aprēķināt konkrētu darbu izpildes termiņu, kā arī lai līguma izpildes laikā varētu darbus veikt bez papildus sadārdzinājumiem, lūdzam norādīt, ko nolikuma un līguma izpratnē pasūtītājs ir domājis ar terminu “tieši ietekmē nelabvēlīgi klimatiskie apstākļi”? Vai minētās izpratnes ietvaros tiks uzskatīts, ka sals ir nelabvēlīgi klimatiskie apstākļi, kas tieši ietekmēs darbu izpildi, ja jā, tad lūdzam norādīt kādos apstākļos un kāds sals tiks uzskatīts par nelabvēlīgiem klimatiskiem apstākļiem, kas tieši ietekmē līguma izpildi. Lūdzam skaidrot, kas un kā paziņo par tehnoloģisko pārtraukumu un kas strīdus gadījumā nosaka, vai konkrētos apstākļos ir pieļaujams tehnoloģiskais pārtraukums.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7DC0B" w14:textId="29C3D431" w:rsidR="000B2AE1" w:rsidRPr="00F640D7" w:rsidRDefault="007226C1" w:rsidP="00DB20CE">
            <w:pPr>
              <w:jc w:val="both"/>
              <w:rPr>
                <w:b/>
                <w:sz w:val="22"/>
                <w:szCs w:val="22"/>
                <w:lang w:val="lv-LV"/>
              </w:rPr>
            </w:pPr>
            <w:r>
              <w:rPr>
                <w:sz w:val="22"/>
                <w:szCs w:val="22"/>
                <w:lang w:val="lv-LV"/>
              </w:rPr>
              <w:t>Nolikuma</w:t>
            </w:r>
            <w:r w:rsidR="00F20858" w:rsidRPr="00F640D7">
              <w:rPr>
                <w:sz w:val="22"/>
                <w:szCs w:val="22"/>
                <w:lang w:val="lv-LV"/>
              </w:rPr>
              <w:t xml:space="preserve"> 6.2. punkt</w:t>
            </w:r>
            <w:r w:rsidR="00A8560D">
              <w:rPr>
                <w:sz w:val="22"/>
                <w:szCs w:val="22"/>
                <w:lang w:val="lv-LV"/>
              </w:rPr>
              <w:t>ā</w:t>
            </w:r>
            <w:r w:rsidR="00F20858" w:rsidRPr="00F640D7">
              <w:rPr>
                <w:sz w:val="22"/>
                <w:szCs w:val="22"/>
                <w:lang w:val="lv-LV"/>
              </w:rPr>
              <w:t xml:space="preserve"> </w:t>
            </w:r>
            <w:r>
              <w:rPr>
                <w:sz w:val="22"/>
                <w:szCs w:val="22"/>
                <w:lang w:val="lv-LV"/>
              </w:rPr>
              <w:t>noteikts</w:t>
            </w:r>
            <w:r w:rsidR="00F20858" w:rsidRPr="00F640D7">
              <w:rPr>
                <w:sz w:val="22"/>
                <w:szCs w:val="22"/>
                <w:lang w:val="lv-LV"/>
              </w:rPr>
              <w:t>,</w:t>
            </w:r>
            <w:r>
              <w:rPr>
                <w:sz w:val="22"/>
                <w:szCs w:val="22"/>
                <w:lang w:val="lv-LV"/>
              </w:rPr>
              <w:t xml:space="preserve"> ka</w:t>
            </w:r>
            <w:r w:rsidR="00F20858" w:rsidRPr="00F640D7">
              <w:rPr>
                <w:sz w:val="22"/>
                <w:szCs w:val="22"/>
                <w:lang w:val="lv-LV"/>
              </w:rPr>
              <w:t xml:space="preserve"> </w:t>
            </w:r>
            <w:r>
              <w:rPr>
                <w:sz w:val="22"/>
                <w:szCs w:val="22"/>
                <w:lang w:val="lv-LV"/>
              </w:rPr>
              <w:t>l</w:t>
            </w:r>
            <w:r w:rsidR="00F20858" w:rsidRPr="00F640D7">
              <w:rPr>
                <w:sz w:val="22"/>
                <w:szCs w:val="22"/>
                <w:lang w:val="lv-LV"/>
              </w:rPr>
              <w:t xml:space="preserve">īguma </w:t>
            </w:r>
            <w:r w:rsidR="00F20858" w:rsidRPr="00F640D7">
              <w:rPr>
                <w:b/>
                <w:sz w:val="22"/>
                <w:szCs w:val="22"/>
                <w:lang w:val="lv-LV"/>
              </w:rPr>
              <w:t>maksimālais</w:t>
            </w:r>
            <w:r w:rsidR="00F20858" w:rsidRPr="00F640D7">
              <w:rPr>
                <w:sz w:val="22"/>
                <w:szCs w:val="22"/>
                <w:lang w:val="lv-LV"/>
              </w:rPr>
              <w:t xml:space="preserve"> izpildes termiņš nedrīkst pārsniegt </w:t>
            </w:r>
            <w:r w:rsidR="00F20858" w:rsidRPr="00F640D7">
              <w:rPr>
                <w:b/>
                <w:sz w:val="22"/>
                <w:szCs w:val="22"/>
                <w:lang w:val="lv-LV"/>
              </w:rPr>
              <w:t>365 (trīs simti sešdesmit piec</w:t>
            </w:r>
            <w:r w:rsidR="00ED39A2">
              <w:rPr>
                <w:b/>
                <w:sz w:val="22"/>
                <w:szCs w:val="22"/>
                <w:lang w:val="lv-LV"/>
              </w:rPr>
              <w:t>as</w:t>
            </w:r>
            <w:r w:rsidR="00F20858" w:rsidRPr="00F640D7">
              <w:rPr>
                <w:b/>
                <w:sz w:val="22"/>
                <w:szCs w:val="22"/>
                <w:lang w:val="lv-LV"/>
              </w:rPr>
              <w:t>)</w:t>
            </w:r>
            <w:r w:rsidR="00F20858" w:rsidRPr="00F640D7">
              <w:rPr>
                <w:sz w:val="22"/>
                <w:szCs w:val="22"/>
                <w:lang w:val="lv-LV"/>
              </w:rPr>
              <w:t xml:space="preserve"> </w:t>
            </w:r>
            <w:r w:rsidR="00F20858" w:rsidRPr="00F640D7">
              <w:rPr>
                <w:b/>
                <w:sz w:val="22"/>
                <w:szCs w:val="22"/>
                <w:lang w:val="lv-LV"/>
              </w:rPr>
              <w:t>kalendārās dienas.</w:t>
            </w:r>
          </w:p>
          <w:p w14:paraId="65D49B78" w14:textId="16B25F58" w:rsidR="00D205F3" w:rsidRPr="00F640D7" w:rsidRDefault="00D205F3" w:rsidP="00DB20CE">
            <w:pPr>
              <w:jc w:val="both"/>
              <w:rPr>
                <w:b/>
                <w:sz w:val="22"/>
                <w:szCs w:val="22"/>
                <w:lang w:val="lv-LV"/>
              </w:rPr>
            </w:pPr>
            <w:r w:rsidRPr="00F640D7">
              <w:rPr>
                <w:sz w:val="22"/>
                <w:szCs w:val="22"/>
                <w:lang w:val="lv-LV"/>
              </w:rPr>
              <w:t xml:space="preserve">Savā piedāvājumā Pretendentam jānorāda būvdarbu izpildes laiks neskaitot tehnoloģisko pārtraukumu, jo </w:t>
            </w:r>
            <w:r w:rsidR="00077ABB">
              <w:rPr>
                <w:sz w:val="22"/>
                <w:szCs w:val="22"/>
                <w:lang w:val="lv-LV"/>
              </w:rPr>
              <w:t>tas nav paredzams</w:t>
            </w:r>
            <w:r w:rsidR="000B2AE1">
              <w:rPr>
                <w:sz w:val="22"/>
                <w:szCs w:val="22"/>
                <w:lang w:val="lv-LV"/>
              </w:rPr>
              <w:t>.</w:t>
            </w:r>
          </w:p>
          <w:p w14:paraId="6F47D3FF" w14:textId="4B3C4390" w:rsidR="00266A5B" w:rsidRPr="00266A5B" w:rsidRDefault="00266A5B" w:rsidP="00F57C89">
            <w:pPr>
              <w:jc w:val="both"/>
              <w:rPr>
                <w:rFonts w:eastAsia="Calibri"/>
                <w:sz w:val="22"/>
                <w:szCs w:val="22"/>
                <w:lang w:val="lv-LV"/>
              </w:rPr>
            </w:pPr>
            <w:r w:rsidRPr="00266A5B">
              <w:rPr>
                <w:rFonts w:eastAsia="Calibri"/>
                <w:sz w:val="22"/>
                <w:szCs w:val="22"/>
                <w:lang w:val="lv-LV"/>
              </w:rPr>
              <w:t xml:space="preserve">Nelabvēlīgie klimatiskie laika apstākļi ir tādi apstākļi, kas neļauj Būvuzņēmējam kvalitatīvi veikt būvniecības darbus, </w:t>
            </w:r>
            <w:r w:rsidRPr="00266A5B">
              <w:rPr>
                <w:sz w:val="22"/>
                <w:szCs w:val="22"/>
                <w:lang w:val="lv-LV"/>
              </w:rPr>
              <w:t>saskaņā ar spēkā esošajiem Latvijas Republikas normatīvajiem aktiem.</w:t>
            </w:r>
          </w:p>
          <w:p w14:paraId="3EDDA0A6" w14:textId="3E9094AF" w:rsidR="00F640D7" w:rsidRPr="00266A5B" w:rsidRDefault="000B2AE1" w:rsidP="00F57C89">
            <w:pPr>
              <w:jc w:val="both"/>
              <w:rPr>
                <w:rFonts w:eastAsia="Calibri"/>
                <w:sz w:val="22"/>
                <w:szCs w:val="22"/>
                <w:lang w:val="lv-LV"/>
              </w:rPr>
            </w:pPr>
            <w:r>
              <w:rPr>
                <w:rFonts w:eastAsia="Calibri"/>
                <w:sz w:val="22"/>
                <w:szCs w:val="22"/>
                <w:lang w:val="lv-LV"/>
              </w:rPr>
              <w:t>Par jebkuriem būvdarbu pārtraukumiem</w:t>
            </w:r>
            <w:r w:rsidR="00F640D7">
              <w:rPr>
                <w:rFonts w:eastAsia="Calibri"/>
                <w:sz w:val="22"/>
                <w:szCs w:val="22"/>
                <w:lang w:val="lv-LV"/>
              </w:rPr>
              <w:t xml:space="preserve"> pus</w:t>
            </w:r>
            <w:r>
              <w:rPr>
                <w:rFonts w:eastAsia="Calibri"/>
                <w:sz w:val="22"/>
                <w:szCs w:val="22"/>
                <w:lang w:val="lv-LV"/>
              </w:rPr>
              <w:t>ēm</w:t>
            </w:r>
            <w:r w:rsidR="00F640D7">
              <w:rPr>
                <w:rFonts w:eastAsia="Calibri"/>
                <w:sz w:val="22"/>
                <w:szCs w:val="22"/>
                <w:lang w:val="lv-LV"/>
              </w:rPr>
              <w:t xml:space="preserve"> </w:t>
            </w:r>
            <w:r>
              <w:rPr>
                <w:rFonts w:eastAsia="Calibri"/>
                <w:sz w:val="22"/>
                <w:szCs w:val="22"/>
                <w:lang w:val="lv-LV"/>
              </w:rPr>
              <w:t>jā</w:t>
            </w:r>
            <w:r w:rsidR="00266A5B">
              <w:rPr>
                <w:rFonts w:eastAsia="Calibri"/>
                <w:sz w:val="22"/>
                <w:szCs w:val="22"/>
                <w:lang w:val="lv-LV"/>
              </w:rPr>
              <w:t>rīkojas saskaņā ar</w:t>
            </w:r>
            <w:r w:rsidR="00F640D7">
              <w:rPr>
                <w:rFonts w:eastAsia="Calibri"/>
                <w:sz w:val="22"/>
                <w:szCs w:val="22"/>
                <w:lang w:val="lv-LV"/>
              </w:rPr>
              <w:t xml:space="preserve"> </w:t>
            </w:r>
            <w:r w:rsidR="00F640D7" w:rsidRPr="00D3579E">
              <w:rPr>
                <w:rFonts w:eastAsia="Calibri"/>
                <w:sz w:val="22"/>
                <w:szCs w:val="22"/>
                <w:lang w:val="lv-LV"/>
              </w:rPr>
              <w:t xml:space="preserve">FIDIC būvniecības darbu līguma </w:t>
            </w:r>
            <w:r w:rsidR="00F640D7" w:rsidRPr="00266A5B">
              <w:rPr>
                <w:rFonts w:eastAsia="Calibri"/>
                <w:sz w:val="22"/>
                <w:szCs w:val="22"/>
                <w:lang w:val="lv-LV"/>
              </w:rPr>
              <w:t>noteikum</w:t>
            </w:r>
            <w:r w:rsidR="00266A5B" w:rsidRPr="00266A5B">
              <w:rPr>
                <w:rFonts w:eastAsia="Calibri"/>
                <w:sz w:val="22"/>
                <w:szCs w:val="22"/>
                <w:lang w:val="lv-LV"/>
              </w:rPr>
              <w:t>iem</w:t>
            </w:r>
            <w:r w:rsidR="00B70C07" w:rsidRPr="00266A5B">
              <w:rPr>
                <w:rFonts w:eastAsia="Calibri"/>
                <w:sz w:val="22"/>
                <w:szCs w:val="22"/>
                <w:lang w:val="lv-LV"/>
              </w:rPr>
              <w:t xml:space="preserve">, proti, katrs gadījums tiks izskatīts </w:t>
            </w:r>
            <w:r w:rsidR="00266A5B" w:rsidRPr="00266A5B">
              <w:rPr>
                <w:rFonts w:eastAsia="Calibri"/>
                <w:sz w:val="22"/>
                <w:szCs w:val="22"/>
                <w:lang w:val="lv-LV"/>
              </w:rPr>
              <w:t>atsevišķi</w:t>
            </w:r>
            <w:r w:rsidR="00B70C07" w:rsidRPr="00266A5B">
              <w:rPr>
                <w:rFonts w:eastAsia="Calibri"/>
                <w:sz w:val="22"/>
                <w:szCs w:val="22"/>
                <w:lang w:val="lv-LV"/>
              </w:rPr>
              <w:t xml:space="preserve">, ņemot vērā </w:t>
            </w:r>
            <w:r w:rsidR="00266A5B" w:rsidRPr="00266A5B">
              <w:rPr>
                <w:rFonts w:eastAsia="Calibri"/>
                <w:sz w:val="22"/>
                <w:szCs w:val="22"/>
                <w:lang w:val="lv-LV"/>
              </w:rPr>
              <w:t>konkrētus apstākļus</w:t>
            </w:r>
            <w:r w:rsidR="00B70C07" w:rsidRPr="00266A5B">
              <w:rPr>
                <w:rFonts w:eastAsia="Calibri"/>
                <w:sz w:val="22"/>
                <w:szCs w:val="22"/>
                <w:lang w:val="lv-LV"/>
              </w:rPr>
              <w:t>, būvdarbu veidus utt.</w:t>
            </w:r>
            <w:r w:rsidR="00B70C07">
              <w:rPr>
                <w:rFonts w:eastAsia="Calibri"/>
                <w:sz w:val="22"/>
                <w:szCs w:val="22"/>
                <w:lang w:val="lv-LV"/>
              </w:rPr>
              <w:t xml:space="preserve"> </w:t>
            </w:r>
          </w:p>
          <w:p w14:paraId="14C1F3EC" w14:textId="1429F1CF" w:rsidR="006058DE" w:rsidRPr="00256BE6" w:rsidRDefault="006058DE" w:rsidP="00256BE6">
            <w:pPr>
              <w:pStyle w:val="Teksts"/>
              <w:rPr>
                <w:szCs w:val="23"/>
              </w:rPr>
            </w:pPr>
          </w:p>
        </w:tc>
      </w:tr>
      <w:tr w:rsidR="00666714" w:rsidRPr="00695A0D" w14:paraId="31E30117" w14:textId="77777777" w:rsidTr="007D50E4">
        <w:trPr>
          <w:trHeight w:val="3434"/>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4FA82" w14:textId="46805B9B" w:rsidR="001C2897" w:rsidRPr="00B53BA5" w:rsidRDefault="000810AF" w:rsidP="00F52690">
            <w:pPr>
              <w:pStyle w:val="NormalWeb"/>
              <w:spacing w:before="0" w:beforeAutospacing="0" w:after="0" w:afterAutospacing="0"/>
              <w:jc w:val="both"/>
              <w:rPr>
                <w:sz w:val="22"/>
                <w:szCs w:val="22"/>
              </w:rPr>
            </w:pPr>
            <w:r w:rsidRPr="00B53BA5">
              <w:rPr>
                <w:sz w:val="22"/>
                <w:szCs w:val="22"/>
              </w:rPr>
              <w:t>2)</w:t>
            </w:r>
            <w:r w:rsidRPr="00B53BA5">
              <w:rPr>
                <w:sz w:val="22"/>
                <w:szCs w:val="22"/>
              </w:rPr>
              <w:tab/>
              <w:t>Nolikuma 6.2.punktā ir noteikts, ka Pasūtītājs apņemas 3 (trīs) mēnešu laikā  pēc Būvdarbu pabeigšanas nodot katru būvobjektu atsevišķi ekspluatācijā. Lūdzam sniegt skaidrojumu, kas nodos objektu ekspluatācijā Pasūtītājs vai Izpildītājs? Ņemot vērā, ka būvobjekti ir jānodod atsevišķi ekspluatācijā nevis vienlaikus, lūdzam sniegt skaidrojumu, ar kuru brīdi tiek uzskatīts, ka darbi ir pabeigti ar būvobjektu nodošanu ekspluatācijā, ar paziņošanu, ka būvobjekti gatavi nodošanai ekspluatācijā, ar pēdējā būvobjekta nodošanu ekspluatācijā vai kad nodota izpildu dokumentācija vai kā citādi?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0EE490" w14:textId="668906C2" w:rsidR="00266A5B" w:rsidRDefault="00266A5B" w:rsidP="00F57C89">
            <w:pPr>
              <w:jc w:val="both"/>
              <w:rPr>
                <w:sz w:val="22"/>
                <w:szCs w:val="22"/>
                <w:lang w:val="lv-LV"/>
              </w:rPr>
            </w:pPr>
            <w:r>
              <w:rPr>
                <w:sz w:val="22"/>
                <w:szCs w:val="22"/>
                <w:lang w:val="lv-LV"/>
              </w:rPr>
              <w:t xml:space="preserve">Objektus nodos ekspluatācijā Pasūtītājs, bet Būvuzņēmējam ir pienākums piedalīties objektu </w:t>
            </w:r>
            <w:r w:rsidR="00D11DFF">
              <w:rPr>
                <w:sz w:val="22"/>
                <w:szCs w:val="22"/>
                <w:lang w:val="lv-LV"/>
              </w:rPr>
              <w:t>nodošanā</w:t>
            </w:r>
            <w:r>
              <w:rPr>
                <w:sz w:val="22"/>
                <w:szCs w:val="22"/>
                <w:lang w:val="lv-LV"/>
              </w:rPr>
              <w:t xml:space="preserve"> ekspluatācijā. </w:t>
            </w:r>
          </w:p>
          <w:p w14:paraId="218EE7F4" w14:textId="32F2B3F5" w:rsidR="00266A5B" w:rsidRDefault="00266A5B" w:rsidP="00F57C89">
            <w:pPr>
              <w:jc w:val="both"/>
              <w:rPr>
                <w:sz w:val="22"/>
                <w:szCs w:val="22"/>
                <w:lang w:val="lv-LV"/>
              </w:rPr>
            </w:pPr>
            <w:r>
              <w:rPr>
                <w:sz w:val="22"/>
                <w:szCs w:val="22"/>
                <w:lang w:val="lv-LV"/>
              </w:rPr>
              <w:t>Nolikum</w:t>
            </w:r>
            <w:r w:rsidR="00D11DFF">
              <w:rPr>
                <w:sz w:val="22"/>
                <w:szCs w:val="22"/>
                <w:lang w:val="lv-LV"/>
              </w:rPr>
              <w:t>a</w:t>
            </w:r>
            <w:r>
              <w:rPr>
                <w:sz w:val="22"/>
                <w:szCs w:val="22"/>
                <w:lang w:val="lv-LV"/>
              </w:rPr>
              <w:t xml:space="preserve"> 6.2. punktā noteikts, ka </w:t>
            </w:r>
            <w:r w:rsidRPr="007226C1">
              <w:rPr>
                <w:sz w:val="22"/>
                <w:szCs w:val="22"/>
                <w:lang w:val="lv-LV"/>
              </w:rPr>
              <w:t xml:space="preserve">Maksimālā izpildes termiņā netiek iekļauta būvobjektu nodošana ekspluatācijā. </w:t>
            </w:r>
          </w:p>
          <w:p w14:paraId="66F53BE5" w14:textId="40AA3524" w:rsidR="00266A5B" w:rsidRPr="00266A5B" w:rsidRDefault="00266A5B" w:rsidP="00F57C89">
            <w:pPr>
              <w:jc w:val="both"/>
              <w:rPr>
                <w:sz w:val="22"/>
                <w:szCs w:val="22"/>
                <w:lang w:val="lv-LV"/>
              </w:rPr>
            </w:pPr>
            <w:r>
              <w:rPr>
                <w:sz w:val="22"/>
                <w:szCs w:val="22"/>
                <w:lang w:val="lv-LV"/>
              </w:rPr>
              <w:t>Būvniecības darbi tiks uzskatīti par pabeigti</w:t>
            </w:r>
            <w:r w:rsidR="00DA46E1">
              <w:rPr>
                <w:sz w:val="22"/>
                <w:szCs w:val="22"/>
                <w:lang w:val="lv-LV"/>
              </w:rPr>
              <w:t xml:space="preserve">em </w:t>
            </w:r>
            <w:r w:rsidR="00DA46E1" w:rsidRPr="00D3579E">
              <w:rPr>
                <w:rFonts w:eastAsia="Calibri"/>
                <w:sz w:val="22"/>
                <w:szCs w:val="22"/>
                <w:lang w:val="lv-LV"/>
              </w:rPr>
              <w:t>FIDIC būvniecības darbu līguma</w:t>
            </w:r>
            <w:r w:rsidR="00DA46E1">
              <w:rPr>
                <w:rFonts w:eastAsia="Calibri"/>
                <w:sz w:val="22"/>
                <w:szCs w:val="22"/>
                <w:lang w:val="lv-LV"/>
              </w:rPr>
              <w:t xml:space="preserve"> 10.sadaļā “Darbu pieņemšana-nodošana” noteiktajā kārtībā.</w:t>
            </w:r>
          </w:p>
          <w:p w14:paraId="4E9B2B90" w14:textId="4702028A" w:rsidR="0031318C" w:rsidRPr="004D614C" w:rsidRDefault="0031318C" w:rsidP="00DA46E1">
            <w:pPr>
              <w:spacing w:after="240"/>
              <w:jc w:val="both"/>
              <w:rPr>
                <w:lang w:val="lv-LV"/>
              </w:rPr>
            </w:pPr>
          </w:p>
        </w:tc>
      </w:tr>
      <w:tr w:rsidR="00681A32" w:rsidRPr="00695A0D" w14:paraId="39FF3715" w14:textId="77777777" w:rsidTr="00674549">
        <w:trPr>
          <w:trHeight w:val="3395"/>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1FD538" w14:textId="33111AA5" w:rsidR="00681A32" w:rsidRPr="00B53BA5" w:rsidRDefault="000810AF" w:rsidP="00422333">
            <w:pPr>
              <w:pStyle w:val="NormalWeb"/>
              <w:jc w:val="both"/>
              <w:rPr>
                <w:sz w:val="22"/>
                <w:szCs w:val="22"/>
              </w:rPr>
            </w:pPr>
            <w:r w:rsidRPr="00B53BA5">
              <w:rPr>
                <w:sz w:val="22"/>
                <w:szCs w:val="22"/>
              </w:rPr>
              <w:lastRenderedPageBreak/>
              <w:t>3)</w:t>
            </w:r>
            <w:r w:rsidRPr="00B53BA5">
              <w:rPr>
                <w:sz w:val="22"/>
                <w:szCs w:val="22"/>
              </w:rPr>
              <w:tab/>
              <w:t xml:space="preserve">Nolikuma 6.5. punktā ir noteikts, ka līguma grozījumi ir pieļaujami Līgumā noteiktajos gadījumos, ievērojot Sabiedrisko pakalpojumu sniedzēju iepirkuma likuma 66.panta un  Vadlīniju 8.1. punkta nosacījumus. Lūdzam norādīt konkrēti, kuri FIDIC “Sarkanā grāmata” noteikumi, konkrētā gadījumā attiecas uz grozījumu izdarīšanu, ņemot vērā, ka Sabiedrisko pakalpojumu sniedzēju iepirkuma likuma 66.panta 3.daļas 1.punktā ir noteikts, ka būtiski iepirkuma līguma vai vispārīgās vienošanās grozījumi ir pieļaujami iepirkuma līgumā noteiktos skaidros un nepārprotami paredzamos gadījumos.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DAF1C" w14:textId="359842E5" w:rsidR="00D51A5C" w:rsidRDefault="007226C1" w:rsidP="00AA76FE">
            <w:pPr>
              <w:jc w:val="both"/>
              <w:rPr>
                <w:rFonts w:eastAsia="Calibri"/>
                <w:sz w:val="22"/>
                <w:szCs w:val="22"/>
                <w:lang w:val="lv-LV"/>
              </w:rPr>
            </w:pPr>
            <w:r w:rsidRPr="00D3579E">
              <w:rPr>
                <w:rFonts w:eastAsia="Calibri"/>
                <w:sz w:val="22"/>
                <w:szCs w:val="22"/>
                <w:lang w:val="lv-LV"/>
              </w:rPr>
              <w:t>FIDIC būvniecības darbu līgum</w:t>
            </w:r>
            <w:r>
              <w:rPr>
                <w:rFonts w:eastAsia="Calibri"/>
                <w:sz w:val="22"/>
                <w:szCs w:val="22"/>
                <w:lang w:val="lv-LV"/>
              </w:rPr>
              <w:t xml:space="preserve">ā ir atrunāti, kādi līguma grozījumi ir pieļaujami un kādos gadījumos, piemēram, </w:t>
            </w:r>
            <w:r w:rsidRPr="00D3579E">
              <w:rPr>
                <w:rFonts w:eastAsia="Calibri"/>
                <w:sz w:val="22"/>
                <w:szCs w:val="22"/>
                <w:lang w:val="lv-LV"/>
              </w:rPr>
              <w:t>FIDIC būvniecības darbu līgum</w:t>
            </w:r>
            <w:r>
              <w:rPr>
                <w:rFonts w:eastAsia="Calibri"/>
                <w:sz w:val="22"/>
                <w:szCs w:val="22"/>
                <w:lang w:val="lv-LV"/>
              </w:rPr>
              <w:t>a 13.sadaļ</w:t>
            </w:r>
            <w:r w:rsidR="00F57C89">
              <w:rPr>
                <w:rFonts w:eastAsia="Calibri"/>
                <w:sz w:val="22"/>
                <w:szCs w:val="22"/>
                <w:lang w:val="lv-LV"/>
              </w:rPr>
              <w:t>ā</w:t>
            </w:r>
            <w:r>
              <w:rPr>
                <w:rFonts w:eastAsia="Calibri"/>
                <w:sz w:val="22"/>
                <w:szCs w:val="22"/>
                <w:lang w:val="lv-LV"/>
              </w:rPr>
              <w:t xml:space="preserve"> “Izmaiņas un labojumi”</w:t>
            </w:r>
            <w:r w:rsidR="00F57C89">
              <w:rPr>
                <w:rFonts w:eastAsia="Calibri"/>
                <w:sz w:val="22"/>
                <w:szCs w:val="22"/>
                <w:lang w:val="lv-LV"/>
              </w:rPr>
              <w:t>.</w:t>
            </w:r>
          </w:p>
          <w:p w14:paraId="3A516A38" w14:textId="77777777" w:rsidR="007226C1" w:rsidRDefault="007226C1" w:rsidP="00AA76FE">
            <w:pPr>
              <w:jc w:val="both"/>
              <w:rPr>
                <w:rFonts w:eastAsia="Calibri"/>
                <w:sz w:val="22"/>
                <w:szCs w:val="22"/>
                <w:lang w:val="lv-LV"/>
              </w:rPr>
            </w:pPr>
          </w:p>
          <w:p w14:paraId="2C43A434" w14:textId="2D4B0CE8" w:rsidR="007226C1" w:rsidRPr="00CB5595" w:rsidRDefault="007226C1" w:rsidP="00AA76FE">
            <w:pPr>
              <w:jc w:val="both"/>
              <w:rPr>
                <w:sz w:val="22"/>
                <w:szCs w:val="22"/>
                <w:lang w:val="lv-LV"/>
              </w:rPr>
            </w:pPr>
          </w:p>
        </w:tc>
      </w:tr>
      <w:tr w:rsidR="00681A32" w:rsidRPr="00695A0D" w14:paraId="78323C1E" w14:textId="77777777" w:rsidTr="00674549">
        <w:trPr>
          <w:trHeight w:val="2677"/>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1ECB28" w14:textId="40D9C1D7" w:rsidR="00681A32" w:rsidRPr="00B53BA5" w:rsidRDefault="000810AF" w:rsidP="00401410">
            <w:pPr>
              <w:pStyle w:val="NormalWeb"/>
              <w:spacing w:before="0" w:beforeAutospacing="0" w:after="0" w:afterAutospacing="0"/>
              <w:jc w:val="both"/>
              <w:rPr>
                <w:sz w:val="22"/>
                <w:szCs w:val="22"/>
              </w:rPr>
            </w:pPr>
            <w:r w:rsidRPr="00B53BA5">
              <w:rPr>
                <w:sz w:val="22"/>
                <w:szCs w:val="22"/>
              </w:rPr>
              <w:t>4)</w:t>
            </w:r>
            <w:r w:rsidRPr="00B53BA5">
              <w:rPr>
                <w:sz w:val="22"/>
                <w:szCs w:val="22"/>
              </w:rPr>
              <w:tab/>
              <w:t>Nolikuma 6.6. punktā un tehniskās specifikācijas 1.1.2.punktā ir noteikts, ka darbi veicami saskaņā FIDIC “Sarkanā grāmata” būvniecības darbu līguma noteikumiem, konkrēti norādot - First Edition; 1999. Ņemot vērā, ka pastāv jaunākas līguma versijas, lūdzam sniegt skaidrojumu, kāpēc tieši šī konkrētā versija ir izmantojama? Vai apstāv iespēja, ka līguma izpilde var tikt veikt atbilstoši jaunākās FIDIC “Sarkanā grāmata” versijai?</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4F2D84" w14:textId="032FA292" w:rsidR="00F57C89" w:rsidRPr="00F57C89" w:rsidRDefault="00F57C89" w:rsidP="00F57C89">
            <w:pPr>
              <w:jc w:val="both"/>
              <w:rPr>
                <w:sz w:val="22"/>
                <w:szCs w:val="22"/>
                <w:lang w:val="lv-LV"/>
              </w:rPr>
            </w:pPr>
            <w:r>
              <w:rPr>
                <w:sz w:val="22"/>
                <w:szCs w:val="22"/>
                <w:lang w:val="lv-LV"/>
              </w:rPr>
              <w:t xml:space="preserve">Ar mērķi skaidri noteikt līguma nosacījumus Pasūtītājs </w:t>
            </w:r>
            <w:r w:rsidR="001C7AF0">
              <w:rPr>
                <w:sz w:val="22"/>
                <w:szCs w:val="22"/>
                <w:lang w:val="lv-LV"/>
              </w:rPr>
              <w:t>nolikum</w:t>
            </w:r>
            <w:r>
              <w:rPr>
                <w:sz w:val="22"/>
                <w:szCs w:val="22"/>
                <w:lang w:val="lv-LV"/>
              </w:rPr>
              <w:t>a</w:t>
            </w:r>
            <w:r w:rsidR="001C7AF0">
              <w:rPr>
                <w:sz w:val="22"/>
                <w:szCs w:val="22"/>
                <w:lang w:val="lv-LV"/>
              </w:rPr>
              <w:t xml:space="preserve"> 6.6.punkt</w:t>
            </w:r>
            <w:r>
              <w:rPr>
                <w:sz w:val="22"/>
                <w:szCs w:val="22"/>
                <w:lang w:val="lv-LV"/>
              </w:rPr>
              <w:t>ā</w:t>
            </w:r>
            <w:r w:rsidR="001C7AF0">
              <w:rPr>
                <w:sz w:val="22"/>
                <w:szCs w:val="22"/>
                <w:lang w:val="lv-LV"/>
              </w:rPr>
              <w:t xml:space="preserve"> </w:t>
            </w:r>
            <w:r>
              <w:rPr>
                <w:sz w:val="22"/>
                <w:szCs w:val="22"/>
                <w:lang w:val="lv-LV"/>
              </w:rPr>
              <w:t xml:space="preserve">norada konkrētu </w:t>
            </w:r>
            <w:r w:rsidRPr="00F57C89">
              <w:rPr>
                <w:sz w:val="22"/>
                <w:szCs w:val="22"/>
                <w:lang w:val="lv-LV"/>
              </w:rPr>
              <w:t>līguma redakciju.</w:t>
            </w:r>
          </w:p>
          <w:p w14:paraId="787CAF3C" w14:textId="35DAE2F5" w:rsidR="006058DE" w:rsidRPr="00F57C89" w:rsidRDefault="00F57C89" w:rsidP="00F57C89">
            <w:pPr>
              <w:jc w:val="both"/>
              <w:rPr>
                <w:sz w:val="22"/>
                <w:szCs w:val="22"/>
                <w:lang w:val="lv-LV"/>
              </w:rPr>
            </w:pPr>
            <w:r w:rsidRPr="00F57C89">
              <w:rPr>
                <w:sz w:val="22"/>
                <w:szCs w:val="22"/>
                <w:lang w:val="lv-LV" w:eastAsia="x-none"/>
              </w:rPr>
              <w:t>L</w:t>
            </w:r>
            <w:r w:rsidR="001C7AF0" w:rsidRPr="00F57C89">
              <w:rPr>
                <w:sz w:val="22"/>
                <w:szCs w:val="22"/>
                <w:lang w:val="lv-LV" w:eastAsia="x-none"/>
              </w:rPr>
              <w:t xml:space="preserve">īguma realizācijas laikā Pasūtītājs nepiemēros nekādu citu </w:t>
            </w:r>
            <w:r w:rsidRPr="00F57C89">
              <w:rPr>
                <w:sz w:val="22"/>
                <w:szCs w:val="22"/>
                <w:lang w:val="lv-LV" w:eastAsia="x-none"/>
              </w:rPr>
              <w:t xml:space="preserve">līguma </w:t>
            </w:r>
            <w:r w:rsidR="001C7AF0" w:rsidRPr="00F57C89">
              <w:rPr>
                <w:sz w:val="22"/>
                <w:szCs w:val="22"/>
                <w:lang w:val="lv-LV" w:eastAsia="x-none"/>
              </w:rPr>
              <w:t>redakciju</w:t>
            </w:r>
            <w:r w:rsidR="00F15EB4">
              <w:rPr>
                <w:sz w:val="22"/>
                <w:szCs w:val="22"/>
                <w:lang w:val="lv-LV" w:eastAsia="x-none"/>
              </w:rPr>
              <w:t xml:space="preserve"> latviešu valodā</w:t>
            </w:r>
            <w:r w:rsidR="001C7AF0" w:rsidRPr="00F57C89">
              <w:rPr>
                <w:sz w:val="22"/>
                <w:szCs w:val="22"/>
                <w:lang w:val="lv-LV" w:eastAsia="x-none"/>
              </w:rPr>
              <w:t xml:space="preserve">. </w:t>
            </w:r>
          </w:p>
          <w:p w14:paraId="5D649EF0" w14:textId="20946894" w:rsidR="00754B47" w:rsidRPr="00046F6C" w:rsidRDefault="00754B47" w:rsidP="00F57C89">
            <w:pPr>
              <w:jc w:val="both"/>
              <w:rPr>
                <w:sz w:val="22"/>
                <w:szCs w:val="22"/>
                <w:lang w:val="lv-LV"/>
              </w:rPr>
            </w:pPr>
          </w:p>
        </w:tc>
      </w:tr>
      <w:tr w:rsidR="00D17339" w:rsidRPr="00695A0D" w14:paraId="5901E4AF" w14:textId="77777777" w:rsidTr="00B53BA5">
        <w:trPr>
          <w:trHeight w:val="2403"/>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30E9C" w14:textId="44761CCD" w:rsidR="00D17339" w:rsidRPr="00B53BA5" w:rsidRDefault="000810AF" w:rsidP="00401410">
            <w:pPr>
              <w:pStyle w:val="NormalWeb"/>
              <w:spacing w:before="0" w:beforeAutospacing="0" w:after="0" w:afterAutospacing="0"/>
              <w:jc w:val="both"/>
              <w:rPr>
                <w:sz w:val="22"/>
                <w:szCs w:val="22"/>
              </w:rPr>
            </w:pPr>
            <w:r w:rsidRPr="00B53BA5">
              <w:rPr>
                <w:sz w:val="22"/>
                <w:szCs w:val="22"/>
              </w:rPr>
              <w:t>5)</w:t>
            </w:r>
            <w:r w:rsidRPr="00B53BA5">
              <w:rPr>
                <w:sz w:val="22"/>
                <w:szCs w:val="22"/>
              </w:rPr>
              <w:tab/>
              <w:t>Nolikuma 11.4.1. punktā ir noteikts, ka priekšapmaksas jeb avansa maksājuma nodrošinājums paliek spēkā un ir realizējams līdz brīdim, kad avansa maksājums ir atmaksāts, bet tā apjoms var tikt pakāpeniski  samazināts par atmaksātās summas apjomu, kas norādīta maksājumu apstiprinājumos. Lūdzam norādīt kādos gadījumos un cik pakāpeniski var tikt samazināts avansa maksājuma nodrošinājums?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6306D" w14:textId="67822A18" w:rsidR="00B049FB" w:rsidRPr="00B049FB" w:rsidRDefault="00B049FB" w:rsidP="001100FF">
            <w:pPr>
              <w:jc w:val="both"/>
              <w:rPr>
                <w:sz w:val="22"/>
                <w:szCs w:val="22"/>
                <w:lang w:val="lv-LV"/>
              </w:rPr>
            </w:pPr>
            <w:r>
              <w:rPr>
                <w:sz w:val="22"/>
                <w:szCs w:val="22"/>
                <w:lang w:val="lv-LV"/>
              </w:rPr>
              <w:t>A</w:t>
            </w:r>
            <w:r w:rsidRPr="00B049FB">
              <w:rPr>
                <w:sz w:val="22"/>
                <w:szCs w:val="22"/>
                <w:lang w:val="lv-LV"/>
              </w:rPr>
              <w:t xml:space="preserve">vansa maksājums </w:t>
            </w:r>
            <w:r>
              <w:rPr>
                <w:sz w:val="22"/>
                <w:szCs w:val="22"/>
                <w:lang w:val="lv-LV"/>
              </w:rPr>
              <w:t xml:space="preserve">var tikt </w:t>
            </w:r>
            <w:r w:rsidRPr="00B049FB">
              <w:rPr>
                <w:sz w:val="22"/>
                <w:szCs w:val="22"/>
                <w:lang w:val="lv-LV"/>
              </w:rPr>
              <w:t xml:space="preserve">pakāpeniski  samazināts par atmaksātās summas apjomu, kas norādīta </w:t>
            </w:r>
            <w:r w:rsidRPr="00B049FB">
              <w:rPr>
                <w:sz w:val="22"/>
                <w:szCs w:val="22"/>
                <w:u w:val="single"/>
                <w:lang w:val="lv-LV"/>
              </w:rPr>
              <w:t>maksājumu apstiprinājumos</w:t>
            </w:r>
            <w:r>
              <w:rPr>
                <w:sz w:val="22"/>
                <w:szCs w:val="22"/>
                <w:lang w:val="lv-LV"/>
              </w:rPr>
              <w:t>.</w:t>
            </w:r>
          </w:p>
          <w:p w14:paraId="223BB690" w14:textId="77777777" w:rsidR="00B049FB" w:rsidRDefault="00B049FB" w:rsidP="001100FF">
            <w:pPr>
              <w:jc w:val="both"/>
              <w:rPr>
                <w:sz w:val="22"/>
                <w:szCs w:val="22"/>
                <w:lang w:val="lv-LV"/>
              </w:rPr>
            </w:pPr>
          </w:p>
          <w:p w14:paraId="51D44FB0" w14:textId="0795C220" w:rsidR="00034158" w:rsidRPr="00754B47" w:rsidRDefault="001C7AF0" w:rsidP="001100FF">
            <w:pPr>
              <w:jc w:val="both"/>
              <w:rPr>
                <w:sz w:val="22"/>
                <w:szCs w:val="22"/>
                <w:lang w:val="lv-LV"/>
              </w:rPr>
            </w:pPr>
            <w:r w:rsidRPr="00754B47">
              <w:rPr>
                <w:rFonts w:eastAsia="Calibri"/>
                <w:sz w:val="22"/>
                <w:szCs w:val="22"/>
                <w:lang w:val="lv-LV"/>
              </w:rPr>
              <w:t xml:space="preserve"> </w:t>
            </w:r>
          </w:p>
        </w:tc>
      </w:tr>
      <w:tr w:rsidR="0023489D" w:rsidRPr="00695A0D" w14:paraId="07DF286F" w14:textId="77777777" w:rsidTr="00674549">
        <w:trPr>
          <w:trHeight w:val="3104"/>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02DD6" w14:textId="0F54587B" w:rsidR="0023489D" w:rsidRPr="00B53BA5" w:rsidRDefault="000810AF" w:rsidP="0023489D">
            <w:pPr>
              <w:pStyle w:val="NormalWeb"/>
              <w:spacing w:before="0" w:beforeAutospacing="0" w:after="0" w:afterAutospacing="0"/>
              <w:jc w:val="both"/>
              <w:rPr>
                <w:sz w:val="22"/>
                <w:szCs w:val="22"/>
              </w:rPr>
            </w:pPr>
            <w:r w:rsidRPr="00B53BA5">
              <w:rPr>
                <w:sz w:val="22"/>
                <w:szCs w:val="22"/>
              </w:rPr>
              <w:t>6)</w:t>
            </w:r>
            <w:r w:rsidRPr="00B53BA5">
              <w:rPr>
                <w:sz w:val="22"/>
                <w:szCs w:val="22"/>
              </w:rPr>
              <w:tab/>
              <w:t>Nolikuma 11.4.2. punktā ir noteikts, ka gadījumā, ja iesniegto līgumsaistību izpildes nodrošinājumu beigu datums ir īsāks nekā šajā punktā norādīts, Izpildītājs kopā ar līgumsaistību izpildes nodrošinājumiem iesniedz garantijas vēstuli ar apņemšanos veikt savlaicīgu līgumsaistību izpildes nodrošinājumu pagarinājumu. Šajā gadījumā sākotnējais līgumsaistību izpildes nodrošinājumu beigu datums nedrīkst būt īsāks par 24 mēnešiem. Lūdzam sniegt skaidrojumu, kam jāizsniedz attiecīgā garantijas vēstule un cik savlaicīgi tā jāiesniedz?</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EB4BF4" w14:textId="77777777" w:rsidR="00754B47" w:rsidRDefault="001C7AF0" w:rsidP="00A877B6">
            <w:pPr>
              <w:jc w:val="both"/>
              <w:rPr>
                <w:sz w:val="22"/>
                <w:szCs w:val="22"/>
                <w:lang w:val="lv-LV"/>
              </w:rPr>
            </w:pPr>
            <w:r w:rsidRPr="00754B47">
              <w:rPr>
                <w:sz w:val="22"/>
                <w:szCs w:val="22"/>
                <w:lang w:val="lv-LV"/>
              </w:rPr>
              <w:t xml:space="preserve">Nolikuma 11.4.2. punkts </w:t>
            </w:r>
            <w:r w:rsidR="00754B47" w:rsidRPr="00754B47">
              <w:rPr>
                <w:sz w:val="22"/>
                <w:szCs w:val="22"/>
                <w:lang w:val="lv-LV"/>
              </w:rPr>
              <w:t xml:space="preserve">un </w:t>
            </w:r>
            <w:r w:rsidR="00754B47" w:rsidRPr="00754B47">
              <w:rPr>
                <w:rFonts w:eastAsia="Calibri"/>
                <w:sz w:val="22"/>
                <w:szCs w:val="22"/>
                <w:lang w:val="lv-LV"/>
              </w:rPr>
              <w:t>FIDIC būvniecības darbu līguma 4.2.punkts</w:t>
            </w:r>
            <w:r w:rsidR="00754B47" w:rsidRPr="00754B47">
              <w:rPr>
                <w:sz w:val="22"/>
                <w:szCs w:val="22"/>
                <w:lang w:val="lv-LV"/>
              </w:rPr>
              <w:t xml:space="preserve"> </w:t>
            </w:r>
            <w:r w:rsidRPr="00754B47">
              <w:rPr>
                <w:sz w:val="22"/>
                <w:szCs w:val="22"/>
                <w:lang w:val="lv-LV"/>
              </w:rPr>
              <w:t>nosaka, ka “</w:t>
            </w:r>
            <w:r w:rsidRPr="00754B47">
              <w:rPr>
                <w:sz w:val="22"/>
                <w:szCs w:val="22"/>
                <w:u w:val="single"/>
                <w:lang w:val="lv-LV"/>
              </w:rPr>
              <w:t>Izpildītājs kopā ar līgumsaistību izpildes nodrošinājumiem</w:t>
            </w:r>
            <w:r w:rsidRPr="00754B47">
              <w:rPr>
                <w:sz w:val="22"/>
                <w:szCs w:val="22"/>
                <w:lang w:val="lv-LV"/>
              </w:rPr>
              <w:t xml:space="preserve"> </w:t>
            </w:r>
            <w:r w:rsidRPr="00754B47">
              <w:rPr>
                <w:sz w:val="22"/>
                <w:szCs w:val="22"/>
                <w:u w:val="single"/>
                <w:lang w:val="lv-LV"/>
              </w:rPr>
              <w:t>iesniedz garantijas vēstuli</w:t>
            </w:r>
            <w:r w:rsidRPr="00754B47">
              <w:rPr>
                <w:sz w:val="22"/>
                <w:szCs w:val="22"/>
                <w:lang w:val="lv-LV"/>
              </w:rPr>
              <w:t xml:space="preserve"> ar apņemšanos veikt savlaicīgu līgumsaistību izpildes nodrošinājumu pagarinājumu”. </w:t>
            </w:r>
          </w:p>
          <w:p w14:paraId="424B6241" w14:textId="625B76D9" w:rsidR="006617A1" w:rsidRPr="00754B47" w:rsidRDefault="001C7AF0" w:rsidP="00A877B6">
            <w:pPr>
              <w:jc w:val="both"/>
              <w:rPr>
                <w:sz w:val="22"/>
                <w:szCs w:val="22"/>
                <w:lang w:val="lv-LV"/>
              </w:rPr>
            </w:pPr>
            <w:r w:rsidRPr="00754B47">
              <w:rPr>
                <w:sz w:val="22"/>
                <w:szCs w:val="22"/>
                <w:lang w:val="lv-LV"/>
              </w:rPr>
              <w:t xml:space="preserve">Tātad, Būvuzņēmējs iesniedzot līgumsaistību izpildes nodrošinājumu </w:t>
            </w:r>
            <w:r w:rsidRPr="00754B47">
              <w:rPr>
                <w:sz w:val="22"/>
                <w:szCs w:val="22"/>
                <w:u w:val="single"/>
                <w:lang w:val="lv-LV"/>
              </w:rPr>
              <w:t>vienlaikus</w:t>
            </w:r>
            <w:r w:rsidRPr="00754B47">
              <w:rPr>
                <w:sz w:val="22"/>
                <w:szCs w:val="22"/>
                <w:lang w:val="lv-LV"/>
              </w:rPr>
              <w:t xml:space="preserve"> iesniedz garantijas vēstuli. </w:t>
            </w:r>
          </w:p>
          <w:p w14:paraId="5AEB1706" w14:textId="4D8BA38B" w:rsidR="006A4A7C" w:rsidRPr="00D82C67" w:rsidRDefault="006A4A7C" w:rsidP="006617A1">
            <w:pPr>
              <w:jc w:val="both"/>
              <w:rPr>
                <w:lang w:val="lv-LV"/>
              </w:rPr>
            </w:pPr>
          </w:p>
        </w:tc>
      </w:tr>
      <w:tr w:rsidR="00D63CC2" w:rsidRPr="00695A0D" w14:paraId="408EA4D6" w14:textId="77777777" w:rsidTr="004E4016">
        <w:trPr>
          <w:trHeight w:val="65"/>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CE7695" w14:textId="0E30A431" w:rsidR="00D63CC2" w:rsidRPr="00B53BA5" w:rsidRDefault="000810AF" w:rsidP="0023489D">
            <w:pPr>
              <w:pStyle w:val="NormalWeb"/>
              <w:jc w:val="both"/>
              <w:rPr>
                <w:sz w:val="22"/>
                <w:szCs w:val="22"/>
              </w:rPr>
            </w:pPr>
            <w:r w:rsidRPr="00B53BA5">
              <w:rPr>
                <w:sz w:val="22"/>
                <w:szCs w:val="22"/>
              </w:rPr>
              <w:t>7)</w:t>
            </w:r>
            <w:r w:rsidRPr="00B53BA5">
              <w:rPr>
                <w:sz w:val="22"/>
                <w:szCs w:val="22"/>
              </w:rPr>
              <w:tab/>
              <w:t xml:space="preserve">Nolikuma 11.7. punktā ir noteikts, ka pēc līguma posma nodošanas ekspluatācijā attiecīga Līgumsaistību izpildes nodrošinājuma summu ar Pasūtītāja rakstveida atļauju var samazināt par 50% (piecdesmit procentiem). Lūdzam sniegt skaidrojumu, kad un kādos gadījumos pasūtītājs izsniegs atļauju samazināt līguma izpildes nodrošinājuma summu, kā arī lūdzam norādīt, kuri konkrēti FIDIC “Sarkanā grāmata” būvniecības </w:t>
            </w:r>
            <w:r w:rsidRPr="00B53BA5">
              <w:rPr>
                <w:sz w:val="22"/>
                <w:szCs w:val="22"/>
              </w:rPr>
              <w:lastRenderedPageBreak/>
              <w:t>darbu līguma punkti būs piemērojami konkrētajā situācijā.</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A82B37" w14:textId="5B2FEBAE" w:rsidR="004E4016" w:rsidRPr="00754B47" w:rsidRDefault="00754B47" w:rsidP="00231CA4">
            <w:pPr>
              <w:jc w:val="both"/>
              <w:rPr>
                <w:b/>
                <w:sz w:val="22"/>
                <w:szCs w:val="22"/>
                <w:lang w:val="lv-LV"/>
              </w:rPr>
            </w:pPr>
            <w:r w:rsidRPr="00754B47">
              <w:rPr>
                <w:sz w:val="22"/>
                <w:szCs w:val="22"/>
                <w:lang w:val="lv-LV"/>
              </w:rPr>
              <w:lastRenderedPageBreak/>
              <w:t>Nolikuma 11.</w:t>
            </w:r>
            <w:r>
              <w:rPr>
                <w:sz w:val="22"/>
                <w:szCs w:val="22"/>
                <w:lang w:val="lv-LV"/>
              </w:rPr>
              <w:t>7</w:t>
            </w:r>
            <w:r w:rsidRPr="00754B47">
              <w:rPr>
                <w:sz w:val="22"/>
                <w:szCs w:val="22"/>
                <w:lang w:val="lv-LV"/>
              </w:rPr>
              <w:t xml:space="preserve">. punkts un </w:t>
            </w:r>
            <w:r w:rsidRPr="00754B47">
              <w:rPr>
                <w:rFonts w:eastAsia="Calibri"/>
                <w:sz w:val="22"/>
                <w:szCs w:val="22"/>
                <w:lang w:val="lv-LV"/>
              </w:rPr>
              <w:t>FIDIC būvniecības darbu līguma 4.2.punkts</w:t>
            </w:r>
            <w:r w:rsidRPr="00754B47">
              <w:rPr>
                <w:sz w:val="22"/>
                <w:szCs w:val="22"/>
                <w:lang w:val="lv-LV"/>
              </w:rPr>
              <w:t xml:space="preserve"> nosaka, </w:t>
            </w:r>
            <w:r w:rsidRPr="00754B47">
              <w:rPr>
                <w:sz w:val="22"/>
                <w:szCs w:val="22"/>
                <w:u w:val="single"/>
                <w:lang w:val="lv-LV"/>
              </w:rPr>
              <w:t>pēc līguma posma nodošanas ekspluatācijā</w:t>
            </w:r>
            <w:r w:rsidRPr="00754B47">
              <w:rPr>
                <w:sz w:val="22"/>
                <w:szCs w:val="22"/>
                <w:lang w:val="lv-LV"/>
              </w:rPr>
              <w:t xml:space="preserve"> attiecīga Līgumsaistību izpildes nodrošinājuma summu ar Pasūtītāja rakstveida atļauju var samazināt par 50% (piecdesmit procentiem).</w:t>
            </w:r>
          </w:p>
        </w:tc>
      </w:tr>
      <w:tr w:rsidR="00D63CC2" w:rsidRPr="00695A0D" w14:paraId="1D65ACDA" w14:textId="77777777" w:rsidTr="00E70F05">
        <w:trPr>
          <w:trHeight w:val="1830"/>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F94F03" w14:textId="2A32AD8F" w:rsidR="000810AF" w:rsidRPr="00B53BA5" w:rsidRDefault="000810AF" w:rsidP="000810AF">
            <w:pPr>
              <w:pStyle w:val="NormalWeb"/>
              <w:jc w:val="both"/>
              <w:rPr>
                <w:sz w:val="22"/>
                <w:szCs w:val="22"/>
              </w:rPr>
            </w:pPr>
            <w:r w:rsidRPr="00B53BA5">
              <w:rPr>
                <w:sz w:val="22"/>
                <w:szCs w:val="22"/>
              </w:rPr>
              <w:t>8)</w:t>
            </w:r>
            <w:r w:rsidRPr="00B53BA5">
              <w:rPr>
                <w:sz w:val="22"/>
                <w:szCs w:val="22"/>
              </w:rPr>
              <w:tab/>
              <w:t>Nolikuma 12. punktā ir atsauce uz  Sabiedrisko pakalpojumu sniedzēju iepirkuma likuma 48. panta pirmo daļu un norāde, ka pretendentu izslēgšanas gadījumi tiks pārbaudīti Sabiedrisko pakalpojumu sniedzēju iepirkuma likuma 48.pantā noteiktajā kārtībā.</w:t>
            </w:r>
          </w:p>
          <w:p w14:paraId="01622A85" w14:textId="75391AB7" w:rsidR="000810AF" w:rsidRPr="00B53BA5" w:rsidRDefault="000810AF" w:rsidP="000810AF">
            <w:pPr>
              <w:pStyle w:val="NormalWeb"/>
              <w:jc w:val="both"/>
              <w:rPr>
                <w:sz w:val="22"/>
                <w:szCs w:val="22"/>
              </w:rPr>
            </w:pPr>
            <w:r w:rsidRPr="00B53BA5">
              <w:rPr>
                <w:sz w:val="22"/>
                <w:szCs w:val="22"/>
              </w:rPr>
              <w:t>Starptautisko un Latvijas Republikas nacionālo sankciju likums 11.1 pantā ir noteikti papildus izslēgšanas nosacījumi, lūdzam apstiprināt, ka tiek šī iepirkuma ietvaros netiek attiecināti un piemēroti.</w:t>
            </w:r>
          </w:p>
          <w:p w14:paraId="57766C1A" w14:textId="2E05CE5D" w:rsidR="00D63CC2" w:rsidRPr="00B53BA5" w:rsidRDefault="000810AF" w:rsidP="000810AF">
            <w:pPr>
              <w:pStyle w:val="NormalWeb"/>
              <w:jc w:val="both"/>
              <w:rPr>
                <w:sz w:val="22"/>
                <w:szCs w:val="22"/>
              </w:rPr>
            </w:pPr>
            <w:r w:rsidRPr="00B53BA5">
              <w:rPr>
                <w:sz w:val="22"/>
                <w:szCs w:val="22"/>
              </w:rPr>
              <w:t>Papildus tam lūdzam norādīt, kur līguma projektā ir paredzēta Starptautisko un Latvijas Republikas nacionālo sankciju likums 11.1 pantā noteiktā tiesība atkāpties no līguma?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332D9" w14:textId="23EE96DF" w:rsidR="00754B47" w:rsidRDefault="00754B47" w:rsidP="00754B47">
            <w:pPr>
              <w:keepNext/>
              <w:keepLines/>
              <w:suppressLineNumbers/>
              <w:suppressAutoHyphens/>
              <w:jc w:val="both"/>
              <w:rPr>
                <w:sz w:val="22"/>
                <w:szCs w:val="22"/>
                <w:lang w:val="lv-LV"/>
              </w:rPr>
            </w:pPr>
            <w:r>
              <w:rPr>
                <w:sz w:val="22"/>
                <w:szCs w:val="22"/>
                <w:lang w:val="lv-LV"/>
              </w:rPr>
              <w:t xml:space="preserve">Nolikuma 12.punkta pirmais teikums nosaka, ka </w:t>
            </w:r>
            <w:r w:rsidRPr="001E5EC8">
              <w:rPr>
                <w:sz w:val="22"/>
                <w:szCs w:val="22"/>
                <w:lang w:val="lv-LV"/>
              </w:rPr>
              <w:t xml:space="preserve">Pretendentu izslēgšanas gadījumi tiks pārbaudīti </w:t>
            </w:r>
            <w:r w:rsidRPr="001E5EC8">
              <w:rPr>
                <w:sz w:val="22"/>
                <w:szCs w:val="22"/>
                <w:lang w:val="lv-LV" w:eastAsia="x-none"/>
              </w:rPr>
              <w:t xml:space="preserve">Sabiedrisko pakalpojumu sniedzēju iepirkuma </w:t>
            </w:r>
            <w:r w:rsidRPr="001E5EC8">
              <w:rPr>
                <w:sz w:val="22"/>
                <w:szCs w:val="22"/>
                <w:lang w:val="lv-LV"/>
              </w:rPr>
              <w:t xml:space="preserve">likuma </w:t>
            </w:r>
            <w:hyperlink r:id="rId7" w:anchor="p42" w:tgtFrame="_blank" w:history="1">
              <w:r w:rsidRPr="001E5EC8">
                <w:rPr>
                  <w:sz w:val="22"/>
                  <w:szCs w:val="22"/>
                  <w:lang w:val="lv-LV"/>
                </w:rPr>
                <w:t>48. pantā</w:t>
              </w:r>
            </w:hyperlink>
            <w:r w:rsidRPr="001E5EC8">
              <w:rPr>
                <w:sz w:val="22"/>
                <w:szCs w:val="22"/>
                <w:lang w:val="lv-LV"/>
              </w:rPr>
              <w:t xml:space="preserve"> noteiktajā kārtībā</w:t>
            </w:r>
            <w:r>
              <w:rPr>
                <w:sz w:val="22"/>
                <w:szCs w:val="22"/>
                <w:lang w:val="lv-LV"/>
              </w:rPr>
              <w:t>.</w:t>
            </w:r>
          </w:p>
          <w:p w14:paraId="240E2DAE" w14:textId="77777777" w:rsidR="00754B47" w:rsidRDefault="00754B47" w:rsidP="00754B47">
            <w:pPr>
              <w:keepNext/>
              <w:keepLines/>
              <w:suppressLineNumbers/>
              <w:suppressAutoHyphens/>
              <w:jc w:val="both"/>
              <w:rPr>
                <w:sz w:val="22"/>
                <w:szCs w:val="22"/>
                <w:lang w:val="lv-LV"/>
              </w:rPr>
            </w:pPr>
          </w:p>
          <w:p w14:paraId="53820EA0" w14:textId="0C96D7E6" w:rsidR="00D63CC2" w:rsidRDefault="00754B47" w:rsidP="00754B47">
            <w:pPr>
              <w:keepNext/>
              <w:keepLines/>
              <w:suppressLineNumbers/>
              <w:suppressAutoHyphens/>
              <w:jc w:val="both"/>
              <w:rPr>
                <w:bCs/>
                <w:sz w:val="22"/>
                <w:szCs w:val="22"/>
                <w:lang w:val="lv-LV"/>
              </w:rPr>
            </w:pPr>
            <w:r w:rsidRPr="00754B47">
              <w:rPr>
                <w:sz w:val="22"/>
                <w:szCs w:val="22"/>
                <w:lang w:val="lv-LV"/>
              </w:rPr>
              <w:t>Nolikumā 8.pielikumā “Līguma vienošanās ar pielikumiem projekts” 15.2. punktā “</w:t>
            </w:r>
            <w:r w:rsidRPr="00754B47">
              <w:rPr>
                <w:spacing w:val="-2"/>
                <w:sz w:val="22"/>
                <w:szCs w:val="22"/>
                <w:lang w:val="lv-LV"/>
              </w:rPr>
              <w:t>Līguma pārtraukšana no Pasūtītāja puses”</w:t>
            </w:r>
            <w:r w:rsidRPr="00754B47">
              <w:rPr>
                <w:sz w:val="22"/>
                <w:szCs w:val="22"/>
                <w:lang w:val="lv-LV"/>
              </w:rPr>
              <w:t xml:space="preserve"> ir noteikts </w:t>
            </w:r>
            <w:r w:rsidR="00D11DFF">
              <w:rPr>
                <w:sz w:val="22"/>
                <w:szCs w:val="22"/>
                <w:lang w:val="lv-LV"/>
              </w:rPr>
              <w:t>–</w:t>
            </w:r>
            <w:r w:rsidRPr="00754B47">
              <w:rPr>
                <w:sz w:val="22"/>
                <w:szCs w:val="22"/>
                <w:lang w:val="lv-LV"/>
              </w:rPr>
              <w:t xml:space="preserve"> </w:t>
            </w:r>
            <w:r w:rsidR="00D11DFF">
              <w:rPr>
                <w:sz w:val="22"/>
                <w:szCs w:val="22"/>
                <w:lang w:val="lv-LV"/>
              </w:rPr>
              <w:t>“</w:t>
            </w:r>
            <w:r w:rsidRPr="00754B47">
              <w:rPr>
                <w:bCs/>
                <w:sz w:val="22"/>
                <w:szCs w:val="22"/>
                <w:lang w:val="lv-LV"/>
              </w:rPr>
              <w:t>ir sankciju sarakstos, proti,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D11DFF">
              <w:rPr>
                <w:bCs/>
                <w:sz w:val="22"/>
                <w:szCs w:val="22"/>
                <w:lang w:val="lv-LV"/>
              </w:rPr>
              <w:t>”</w:t>
            </w:r>
            <w:r w:rsidR="007620F2">
              <w:rPr>
                <w:bCs/>
                <w:sz w:val="22"/>
                <w:szCs w:val="22"/>
                <w:lang w:val="lv-LV"/>
              </w:rPr>
              <w:t>.</w:t>
            </w:r>
          </w:p>
          <w:p w14:paraId="7A458D23" w14:textId="77777777" w:rsidR="007620F2" w:rsidRDefault="007620F2" w:rsidP="00754B47">
            <w:pPr>
              <w:keepNext/>
              <w:keepLines/>
              <w:suppressLineNumbers/>
              <w:suppressAutoHyphens/>
              <w:jc w:val="both"/>
              <w:rPr>
                <w:bCs/>
                <w:sz w:val="22"/>
                <w:szCs w:val="22"/>
                <w:lang w:val="lv-LV"/>
              </w:rPr>
            </w:pPr>
          </w:p>
          <w:p w14:paraId="4A26C25C" w14:textId="77777777" w:rsidR="007620F2" w:rsidRDefault="007620F2" w:rsidP="00B049FB">
            <w:pPr>
              <w:overflowPunct w:val="0"/>
              <w:autoSpaceDE w:val="0"/>
              <w:autoSpaceDN w:val="0"/>
              <w:adjustRightInd w:val="0"/>
              <w:jc w:val="both"/>
              <w:rPr>
                <w:bCs/>
                <w:sz w:val="22"/>
                <w:szCs w:val="22"/>
                <w:lang w:val="lv-LV" w:eastAsia="lv-LV"/>
              </w:rPr>
            </w:pPr>
          </w:p>
          <w:p w14:paraId="751E1056" w14:textId="1744EC37" w:rsidR="00B049FB" w:rsidRPr="00754B47" w:rsidRDefault="00B049FB" w:rsidP="00B049FB">
            <w:pPr>
              <w:overflowPunct w:val="0"/>
              <w:autoSpaceDE w:val="0"/>
              <w:autoSpaceDN w:val="0"/>
              <w:adjustRightInd w:val="0"/>
              <w:jc w:val="both"/>
              <w:rPr>
                <w:spacing w:val="-2"/>
                <w:sz w:val="22"/>
                <w:szCs w:val="22"/>
                <w:lang w:val="lv-LV"/>
              </w:rPr>
            </w:pPr>
          </w:p>
        </w:tc>
      </w:tr>
      <w:tr w:rsidR="00D63CC2" w:rsidRPr="00695A0D" w14:paraId="5140A525"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DEC88" w14:textId="77777777" w:rsidR="00B049FB" w:rsidRDefault="000810AF" w:rsidP="0023489D">
            <w:pPr>
              <w:pStyle w:val="NormalWeb"/>
              <w:jc w:val="both"/>
              <w:rPr>
                <w:sz w:val="22"/>
                <w:szCs w:val="22"/>
              </w:rPr>
            </w:pPr>
            <w:r w:rsidRPr="00B53BA5">
              <w:rPr>
                <w:sz w:val="22"/>
                <w:szCs w:val="22"/>
              </w:rPr>
              <w:t>9)</w:t>
            </w:r>
            <w:r w:rsidRPr="00B53BA5">
              <w:rPr>
                <w:sz w:val="22"/>
                <w:szCs w:val="22"/>
              </w:rPr>
              <w:tab/>
            </w:r>
            <w:r w:rsidRPr="00B049FB">
              <w:rPr>
                <w:sz w:val="22"/>
                <w:szCs w:val="22"/>
              </w:rPr>
              <w:t>Nolikuma 15.3.punktā ir noteikts, ka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nepieciešama reģistrācija Latvijas Republikas Būvkomersantu reģistrā. Lūdzam norādīt konkrēti attiecībā uz kuriem pakalpojumiem nepieciešama reģistrācija Latvijas Republikas Būvkomersantu reģistrā? Vai metināšanas pakalpojums ir uzskatāms par reģistrējamu pakalpojumu?</w:t>
            </w:r>
          </w:p>
          <w:p w14:paraId="685BA4DF" w14:textId="562CD1EA" w:rsidR="00144101" w:rsidRPr="00B53BA5" w:rsidRDefault="00144101"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D0F480" w14:textId="06962A1E" w:rsidR="004F6B26" w:rsidRPr="00AA6A1A" w:rsidRDefault="00695A0D" w:rsidP="005D662C">
            <w:pPr>
              <w:jc w:val="both"/>
              <w:rPr>
                <w:sz w:val="22"/>
                <w:lang w:val="lv-LV"/>
              </w:rPr>
            </w:pPr>
            <w:r>
              <w:rPr>
                <w:sz w:val="22"/>
                <w:lang w:val="lv-LV"/>
              </w:rPr>
              <w:t xml:space="preserve">Pakalpojumu </w:t>
            </w:r>
            <w:r w:rsidR="00144101">
              <w:rPr>
                <w:sz w:val="22"/>
                <w:lang w:val="lv-LV"/>
              </w:rPr>
              <w:t>veidi un to r</w:t>
            </w:r>
            <w:r w:rsidR="00B049FB" w:rsidRPr="00AA6A1A">
              <w:rPr>
                <w:sz w:val="22"/>
                <w:lang w:val="lv-LV"/>
              </w:rPr>
              <w:t xml:space="preserve">eģistrācija Latvijas Republikas Būvkomersantu reģistrā </w:t>
            </w:r>
            <w:r w:rsidR="005D662C" w:rsidRPr="00AA6A1A">
              <w:rPr>
                <w:sz w:val="22"/>
                <w:lang w:val="lv-LV"/>
              </w:rPr>
              <w:t xml:space="preserve">tiek veikta saskaņā ar Latvijas Republikas spēkā esošiem normatīviem aktiem. </w:t>
            </w:r>
          </w:p>
        </w:tc>
      </w:tr>
      <w:tr w:rsidR="000810AF" w:rsidRPr="00695A0D" w14:paraId="52ABA94E"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E4E95" w14:textId="2AC2E188" w:rsidR="000810AF" w:rsidRPr="00B53BA5" w:rsidRDefault="000810AF" w:rsidP="000810AF">
            <w:pPr>
              <w:pStyle w:val="NormalWeb"/>
              <w:jc w:val="both"/>
              <w:rPr>
                <w:sz w:val="22"/>
                <w:szCs w:val="22"/>
              </w:rPr>
            </w:pPr>
            <w:r w:rsidRPr="00B53BA5">
              <w:rPr>
                <w:sz w:val="22"/>
                <w:szCs w:val="22"/>
              </w:rPr>
              <w:t>10)</w:t>
            </w:r>
            <w:r w:rsidRPr="00B53BA5">
              <w:rPr>
                <w:sz w:val="22"/>
                <w:szCs w:val="22"/>
              </w:rPr>
              <w:tab/>
              <w:t xml:space="preserve">Nolikuma 15.4., 15.5.punktos par attiecīgo speciālistu pieredzi ir noteikts, ka pieredzei ir jābūt iegūtai konkrēta garuma tīklu izbūvē. Ja minētie tīkli (gan ūdensvads, gan kanalizācija) ir izbūvēti viena līguma ietvaros, vai pieredze tiks uzskatīta par atbilstošu? </w:t>
            </w:r>
          </w:p>
          <w:p w14:paraId="2731EEE5" w14:textId="35442EFE" w:rsidR="000810AF" w:rsidRPr="00464520" w:rsidRDefault="000810AF" w:rsidP="000810AF">
            <w:pPr>
              <w:pStyle w:val="NormalWeb"/>
              <w:jc w:val="both"/>
              <w:rPr>
                <w:sz w:val="22"/>
                <w:szCs w:val="22"/>
              </w:rPr>
            </w:pPr>
            <w:r w:rsidRPr="00B53BA5">
              <w:rPr>
                <w:sz w:val="22"/>
                <w:szCs w:val="22"/>
              </w:rPr>
              <w:t xml:space="preserve">Rēķinot tīklu garumu, tiks vērtēta konkrēto izbūvēto cauruļu garums neatkarīgi no tranšejas garums, piemēram, ja vienlaikus paralēli ir izbūvētas dažāda </w:t>
            </w:r>
            <w:r w:rsidRPr="00464520">
              <w:rPr>
                <w:sz w:val="22"/>
                <w:szCs w:val="22"/>
              </w:rPr>
              <w:t>diametra kanalizācijas caurules?</w:t>
            </w:r>
          </w:p>
          <w:p w14:paraId="3E347E1D" w14:textId="77777777" w:rsidR="00754B47" w:rsidRDefault="000810AF" w:rsidP="000810AF">
            <w:pPr>
              <w:pStyle w:val="NormalWeb"/>
              <w:jc w:val="both"/>
              <w:rPr>
                <w:sz w:val="22"/>
                <w:szCs w:val="22"/>
              </w:rPr>
            </w:pPr>
            <w:r w:rsidRPr="00464520">
              <w:rPr>
                <w:sz w:val="22"/>
                <w:szCs w:val="22"/>
              </w:rPr>
              <w:t>Vai lietus kanalizācija ir uzskatām šī nolikuma punkta izpratnē par ārējo kanalizācijas tīklu?</w:t>
            </w:r>
          </w:p>
          <w:p w14:paraId="00625B78" w14:textId="0E8FD03D" w:rsidR="00464520" w:rsidRPr="00B53BA5" w:rsidRDefault="00464520" w:rsidP="000810AF">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CA791" w14:textId="44B5E774" w:rsidR="000810AF" w:rsidRPr="00144101" w:rsidRDefault="00754B47" w:rsidP="0056458E">
            <w:pPr>
              <w:jc w:val="both"/>
              <w:rPr>
                <w:sz w:val="22"/>
                <w:szCs w:val="22"/>
                <w:lang w:val="lv-LV"/>
              </w:rPr>
            </w:pPr>
            <w:r w:rsidRPr="00144101">
              <w:rPr>
                <w:sz w:val="22"/>
                <w:szCs w:val="22"/>
                <w:lang w:val="lv-LV"/>
              </w:rPr>
              <w:t xml:space="preserve">Ja vienā līgumā ietvaros Pretendentam ir nolikuma 15.4. un 15.5. punktos pieprasīta atbilstoša pieredze, to var apliecināt ar vienu līgumu. </w:t>
            </w:r>
          </w:p>
          <w:p w14:paraId="1AD37FCA" w14:textId="77777777" w:rsidR="0056458E" w:rsidRPr="00144101" w:rsidRDefault="0056458E" w:rsidP="0056458E">
            <w:pPr>
              <w:jc w:val="both"/>
              <w:rPr>
                <w:sz w:val="22"/>
                <w:szCs w:val="22"/>
                <w:lang w:val="lv-LV"/>
              </w:rPr>
            </w:pPr>
          </w:p>
          <w:p w14:paraId="778362E6" w14:textId="4F716E90" w:rsidR="0056458E" w:rsidRPr="00144101" w:rsidRDefault="0056458E" w:rsidP="0056458E">
            <w:pPr>
              <w:jc w:val="both"/>
              <w:rPr>
                <w:sz w:val="22"/>
                <w:szCs w:val="22"/>
                <w:shd w:val="clear" w:color="auto" w:fill="FFFFFF"/>
                <w:lang w:val="lv-LV"/>
              </w:rPr>
            </w:pPr>
            <w:r w:rsidRPr="00144101">
              <w:rPr>
                <w:sz w:val="22"/>
                <w:szCs w:val="22"/>
                <w:lang w:val="lv-LV"/>
              </w:rPr>
              <w:t xml:space="preserve">Nolikuma 15.4. un 15.5. punktos noteikts - [..] </w:t>
            </w:r>
            <w:r w:rsidRPr="00144101">
              <w:rPr>
                <w:sz w:val="22"/>
                <w:szCs w:val="22"/>
                <w:u w:val="single"/>
                <w:shd w:val="clear" w:color="auto" w:fill="FFFFFF"/>
                <w:lang w:val="lv-LV"/>
              </w:rPr>
              <w:t>tīklus</w:t>
            </w:r>
            <w:r w:rsidRPr="00144101">
              <w:rPr>
                <w:sz w:val="22"/>
                <w:szCs w:val="22"/>
                <w:shd w:val="clear" w:color="auto" w:fill="FFFFFF"/>
                <w:lang w:val="lv-LV"/>
              </w:rPr>
              <w:t xml:space="preserve"> ar kopējo garumu vismaz 3 km [..], tātad Pasūtītājs vērtēs izbūvēto tīklu garum</w:t>
            </w:r>
            <w:r w:rsidR="005D662C" w:rsidRPr="00144101">
              <w:rPr>
                <w:sz w:val="22"/>
                <w:szCs w:val="22"/>
                <w:shd w:val="clear" w:color="auto" w:fill="FFFFFF"/>
                <w:lang w:val="lv-LV"/>
              </w:rPr>
              <w:t>u</w:t>
            </w:r>
            <w:r w:rsidRPr="00144101">
              <w:rPr>
                <w:sz w:val="22"/>
                <w:szCs w:val="22"/>
                <w:shd w:val="clear" w:color="auto" w:fill="FFFFFF"/>
                <w:lang w:val="lv-LV"/>
              </w:rPr>
              <w:t>.</w:t>
            </w:r>
          </w:p>
          <w:p w14:paraId="7B5D482B" w14:textId="77777777" w:rsidR="0056458E" w:rsidRPr="00144101" w:rsidRDefault="0056458E" w:rsidP="0056458E">
            <w:pPr>
              <w:jc w:val="both"/>
              <w:rPr>
                <w:sz w:val="22"/>
                <w:szCs w:val="22"/>
                <w:shd w:val="clear" w:color="auto" w:fill="FFFFFF"/>
                <w:lang w:val="lv-LV"/>
              </w:rPr>
            </w:pPr>
          </w:p>
          <w:p w14:paraId="585BBE98" w14:textId="1B02FDD1" w:rsidR="0056458E" w:rsidRPr="00144101" w:rsidRDefault="0056458E" w:rsidP="0056458E">
            <w:pPr>
              <w:jc w:val="both"/>
              <w:rPr>
                <w:lang w:val="lv-LV"/>
              </w:rPr>
            </w:pPr>
            <w:r w:rsidRPr="00144101">
              <w:rPr>
                <w:sz w:val="22"/>
                <w:szCs w:val="22"/>
                <w:shd w:val="clear" w:color="auto" w:fill="FFFFFF"/>
                <w:lang w:val="lv-LV"/>
              </w:rPr>
              <w:t xml:space="preserve"> </w:t>
            </w:r>
            <w:r w:rsidR="00464520" w:rsidRPr="00144101">
              <w:rPr>
                <w:sz w:val="22"/>
                <w:szCs w:val="22"/>
                <w:shd w:val="clear" w:color="auto" w:fill="FFFFFF"/>
                <w:lang w:val="lv-LV"/>
              </w:rPr>
              <w:t xml:space="preserve">Šī nolikuma izpratnē </w:t>
            </w:r>
            <w:r w:rsidR="00144101" w:rsidRPr="00144101">
              <w:rPr>
                <w:sz w:val="22"/>
                <w:szCs w:val="22"/>
                <w:shd w:val="clear" w:color="auto" w:fill="FFFFFF"/>
                <w:lang w:val="lv-LV"/>
              </w:rPr>
              <w:t xml:space="preserve">ārēja </w:t>
            </w:r>
            <w:r w:rsidR="00464520" w:rsidRPr="00144101">
              <w:rPr>
                <w:sz w:val="22"/>
                <w:szCs w:val="22"/>
                <w:lang w:val="lv-LV"/>
              </w:rPr>
              <w:t>lietus kanalizācija tiks uzskatīta par ārējo kanalizācijas tīklu.</w:t>
            </w:r>
          </w:p>
        </w:tc>
      </w:tr>
      <w:tr w:rsidR="000810AF" w:rsidRPr="00695A0D" w14:paraId="0A008339" w14:textId="77777777" w:rsidTr="00674549">
        <w:trPr>
          <w:trHeight w:val="1126"/>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1415E" w14:textId="03BA10EB" w:rsidR="000810AF" w:rsidRPr="00B53BA5" w:rsidRDefault="000810AF" w:rsidP="0056458E">
            <w:pPr>
              <w:jc w:val="both"/>
              <w:rPr>
                <w:rFonts w:eastAsiaTheme="minorHAnsi"/>
                <w:color w:val="000000"/>
                <w:sz w:val="22"/>
                <w:szCs w:val="22"/>
                <w:lang w:val="lv-LV" w:eastAsia="lv-LV"/>
              </w:rPr>
            </w:pPr>
            <w:r w:rsidRPr="00B53BA5">
              <w:rPr>
                <w:rFonts w:eastAsiaTheme="minorHAnsi"/>
                <w:color w:val="000000"/>
                <w:sz w:val="22"/>
                <w:szCs w:val="22"/>
                <w:lang w:val="lv-LV" w:eastAsia="lv-LV"/>
              </w:rPr>
              <w:t>11)</w:t>
            </w:r>
            <w:r w:rsidRPr="00B53BA5">
              <w:rPr>
                <w:rFonts w:eastAsiaTheme="minorHAnsi"/>
                <w:color w:val="000000"/>
                <w:sz w:val="22"/>
                <w:szCs w:val="22"/>
                <w:lang w:val="lv-LV" w:eastAsia="lv-LV"/>
              </w:rPr>
              <w:tab/>
              <w:t xml:space="preserve">Nolikuma 15.6. punktā ir noteikts, ka piecos iepriekšējos gados (2014., 2015., 2016., 2017., 2018. un 2019.gads līdz piedāvājumu iesniegšanai) Pretendentam ir jābūt realizējušam vismaz vienu līgumu, kura ietvaros veicis vismaz vienas </w:t>
            </w:r>
            <w:r w:rsidRPr="00B53BA5">
              <w:rPr>
                <w:rFonts w:eastAsiaTheme="minorHAnsi"/>
                <w:color w:val="000000"/>
                <w:sz w:val="22"/>
                <w:szCs w:val="22"/>
                <w:lang w:val="lv-LV" w:eastAsia="lv-LV"/>
              </w:rPr>
              <w:lastRenderedPageBreak/>
              <w:t>rūpnieciski izgatavotas kanalizācijas sūkņu stacijas  būvdarbus ar automātikas vadības sistēmas uzstādīšanu.</w:t>
            </w:r>
          </w:p>
          <w:p w14:paraId="1173A595" w14:textId="77777777" w:rsidR="000810AF" w:rsidRDefault="000810AF" w:rsidP="0056458E">
            <w:pPr>
              <w:jc w:val="both"/>
              <w:rPr>
                <w:rFonts w:eastAsiaTheme="minorHAnsi"/>
                <w:color w:val="000000"/>
                <w:sz w:val="22"/>
                <w:szCs w:val="22"/>
                <w:lang w:val="lv-LV" w:eastAsia="lv-LV"/>
              </w:rPr>
            </w:pPr>
            <w:r w:rsidRPr="00B53BA5">
              <w:rPr>
                <w:rFonts w:eastAsiaTheme="minorHAnsi"/>
                <w:color w:val="000000"/>
                <w:sz w:val="22"/>
                <w:szCs w:val="22"/>
                <w:lang w:val="lv-LV" w:eastAsia="lv-LV"/>
              </w:rPr>
              <w:t xml:space="preserve">Lūdzam sniegt skaidrojumu, ko šī nolikuma izpratnē pasūtītājs saprot ar terminu </w:t>
            </w:r>
            <w:r w:rsidRPr="00464520">
              <w:rPr>
                <w:rFonts w:eastAsiaTheme="minorHAnsi"/>
                <w:color w:val="000000"/>
                <w:sz w:val="22"/>
                <w:szCs w:val="22"/>
                <w:lang w:val="lv-LV" w:eastAsia="lv-LV"/>
              </w:rPr>
              <w:t>“rūpnieciski izgatavotas kanalizācijas sūkņu stacija”, kā arī kādus konkrētu būvdarbus ir jābūt veikušam? Vai par atbilstošu tiks uzskatīta pieredze, kas iegūta, veidojot daļu no  kanalizācijas sūkņu stacijas?</w:t>
            </w:r>
          </w:p>
          <w:p w14:paraId="0CCFB49D" w14:textId="1D278DB2" w:rsidR="00441807" w:rsidRPr="008F4FB1" w:rsidRDefault="00441807" w:rsidP="0056458E">
            <w:pPr>
              <w:jc w:val="both"/>
              <w:rPr>
                <w:rFonts w:eastAsiaTheme="minorHAnsi"/>
                <w:color w:val="000000"/>
                <w:sz w:val="22"/>
                <w:szCs w:val="22"/>
                <w:lang w:val="lv-LV" w:eastAsia="lv-LV"/>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91462" w14:textId="77777777" w:rsidR="00464520" w:rsidRPr="00144101" w:rsidRDefault="00464520" w:rsidP="00464520">
            <w:pPr>
              <w:jc w:val="both"/>
              <w:rPr>
                <w:sz w:val="22"/>
                <w:szCs w:val="22"/>
                <w:lang w:val="lv-LV"/>
              </w:rPr>
            </w:pPr>
            <w:r w:rsidRPr="00144101">
              <w:rPr>
                <w:sz w:val="22"/>
                <w:szCs w:val="22"/>
                <w:lang w:val="lv-LV"/>
              </w:rPr>
              <w:lastRenderedPageBreak/>
              <w:t xml:space="preserve">Būvprojektā, kas attiecās uz kanalizācijas sūkņu stacijām ir norādīta informācija par rūpnieciski izgatavotajām sūkņu stacijām. Būvdarbus ir jāveic atbilstoši būvprojektam. </w:t>
            </w:r>
          </w:p>
          <w:p w14:paraId="175098BF" w14:textId="03D05786" w:rsidR="000810AF" w:rsidRPr="00144101" w:rsidRDefault="00464520" w:rsidP="00464520">
            <w:pPr>
              <w:jc w:val="both"/>
              <w:rPr>
                <w:lang w:val="lv-LV"/>
              </w:rPr>
            </w:pPr>
            <w:r w:rsidRPr="00144101">
              <w:rPr>
                <w:sz w:val="22"/>
                <w:szCs w:val="22"/>
                <w:lang w:val="lv-LV"/>
              </w:rPr>
              <w:lastRenderedPageBreak/>
              <w:t xml:space="preserve">Pieredzes atbilstība tiks noteikta saskaņā ar nolikuma 15.6. punktu, t.i. </w:t>
            </w:r>
            <w:r w:rsidRPr="00144101">
              <w:rPr>
                <w:sz w:val="22"/>
                <w:szCs w:val="22"/>
                <w:shd w:val="clear" w:color="auto" w:fill="FFFFFF"/>
                <w:lang w:val="lv-LV"/>
              </w:rPr>
              <w:t xml:space="preserve">Pretendents ir </w:t>
            </w:r>
            <w:r w:rsidRPr="00144101">
              <w:rPr>
                <w:sz w:val="22"/>
                <w:szCs w:val="22"/>
                <w:u w:val="single"/>
                <w:shd w:val="clear" w:color="auto" w:fill="FFFFFF"/>
                <w:lang w:val="lv-LV"/>
              </w:rPr>
              <w:t>realizējis</w:t>
            </w:r>
            <w:r w:rsidRPr="00144101">
              <w:rPr>
                <w:sz w:val="22"/>
                <w:szCs w:val="22"/>
                <w:shd w:val="clear" w:color="auto" w:fill="FFFFFF"/>
                <w:lang w:val="lv-LV"/>
              </w:rPr>
              <w:t xml:space="preserve"> vismaz vienu līgumu, kura ietvaros </w:t>
            </w:r>
            <w:r w:rsidRPr="00144101">
              <w:rPr>
                <w:sz w:val="22"/>
                <w:szCs w:val="22"/>
                <w:u w:val="single"/>
                <w:shd w:val="clear" w:color="auto" w:fill="FFFFFF"/>
                <w:lang w:val="lv-LV"/>
              </w:rPr>
              <w:t>veicis</w:t>
            </w:r>
            <w:r w:rsidRPr="00144101">
              <w:rPr>
                <w:sz w:val="22"/>
                <w:szCs w:val="22"/>
                <w:shd w:val="clear" w:color="auto" w:fill="FFFFFF"/>
                <w:lang w:val="lv-LV"/>
              </w:rPr>
              <w:t xml:space="preserve"> vismaz vienas rūpnieciski izgatavotas kanalizācijas sūkņu stacijas  būvdarbus ar automātikas vadības sistēmas uzstādīšanu.</w:t>
            </w:r>
            <w:r w:rsidRPr="00144101">
              <w:rPr>
                <w:lang w:val="lv-LV"/>
              </w:rPr>
              <w:t xml:space="preserve"> </w:t>
            </w:r>
          </w:p>
        </w:tc>
      </w:tr>
      <w:tr w:rsidR="000810AF" w:rsidRPr="00695A0D" w14:paraId="3082B0C5"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C07FD" w14:textId="77777777" w:rsidR="000810AF" w:rsidRDefault="000810AF" w:rsidP="0023489D">
            <w:pPr>
              <w:pStyle w:val="NormalWeb"/>
              <w:jc w:val="both"/>
              <w:rPr>
                <w:sz w:val="22"/>
                <w:szCs w:val="22"/>
              </w:rPr>
            </w:pPr>
            <w:r w:rsidRPr="00B53BA5">
              <w:rPr>
                <w:sz w:val="22"/>
                <w:szCs w:val="22"/>
              </w:rPr>
              <w:lastRenderedPageBreak/>
              <w:t>12)</w:t>
            </w:r>
            <w:r w:rsidRPr="00B53BA5">
              <w:rPr>
                <w:sz w:val="22"/>
                <w:szCs w:val="22"/>
              </w:rPr>
              <w:tab/>
              <w:t xml:space="preserve">Nolikuma 15.7. punktā ir noteiks, ka piecos iepriekšējos gados (2014., 2015., 2016., 2017., 2018. un 2019.gads līdz piedāvājumu iesniegšanai) Pretendenta ir jābūt realizējušam vismaz vienu līgumu, kura ietvaros veicis asfaltbetona seguma jaunbūves, pārbūves vai atjaunošanas būvdarbus ar kopējo apjomu vismaz 3000 m². </w:t>
            </w:r>
            <w:r w:rsidRPr="00464520">
              <w:rPr>
                <w:sz w:val="22"/>
                <w:szCs w:val="22"/>
              </w:rPr>
              <w:t>Lūdzam sniegt skaidrojumu, kā ir rēķināma kopējā platība asfaltbetona atjaunošanas būvdarbu gadījumā? Vai tā nosakāma atbilstoši faktiskam darbu apjomam vai būvobjekta apjomam?</w:t>
            </w:r>
          </w:p>
          <w:p w14:paraId="48B701DA" w14:textId="1CA3F649"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EEDB9" w14:textId="46632ACB" w:rsidR="000810AF" w:rsidRPr="00AF4C81" w:rsidRDefault="00464520" w:rsidP="00464520">
            <w:pPr>
              <w:jc w:val="both"/>
              <w:rPr>
                <w:sz w:val="22"/>
                <w:szCs w:val="22"/>
                <w:lang w:val="lv-LV"/>
              </w:rPr>
            </w:pPr>
            <w:r w:rsidRPr="00AF4C81">
              <w:rPr>
                <w:sz w:val="22"/>
                <w:szCs w:val="22"/>
                <w:lang w:val="lv-LV"/>
              </w:rPr>
              <w:t>Saskaņā ar nolikuma 15.7. punkta nosacījumiem  Pretendenta</w:t>
            </w:r>
            <w:r w:rsidR="00AF4C81">
              <w:rPr>
                <w:sz w:val="22"/>
                <w:szCs w:val="22"/>
                <w:lang w:val="lv-LV"/>
              </w:rPr>
              <w:t>m</w:t>
            </w:r>
            <w:r w:rsidRPr="00AF4C81">
              <w:rPr>
                <w:sz w:val="22"/>
                <w:szCs w:val="22"/>
                <w:lang w:val="lv-LV"/>
              </w:rPr>
              <w:t xml:space="preserve"> ir jābūt </w:t>
            </w:r>
            <w:r w:rsidRPr="00AF4C81">
              <w:rPr>
                <w:sz w:val="22"/>
                <w:szCs w:val="22"/>
                <w:u w:val="single"/>
                <w:lang w:val="lv-LV"/>
              </w:rPr>
              <w:t>realizējušam</w:t>
            </w:r>
            <w:r w:rsidRPr="00AF4C81">
              <w:rPr>
                <w:sz w:val="22"/>
                <w:szCs w:val="22"/>
                <w:lang w:val="lv-LV"/>
              </w:rPr>
              <w:t xml:space="preserve"> vismaz vienu līgumu, kura ietvaros </w:t>
            </w:r>
            <w:r w:rsidRPr="00AF4C81">
              <w:rPr>
                <w:sz w:val="22"/>
                <w:szCs w:val="22"/>
                <w:u w:val="single"/>
                <w:lang w:val="lv-LV"/>
              </w:rPr>
              <w:t>veicis</w:t>
            </w:r>
            <w:r w:rsidRPr="00AF4C81">
              <w:rPr>
                <w:sz w:val="22"/>
                <w:szCs w:val="22"/>
                <w:lang w:val="lv-LV"/>
              </w:rPr>
              <w:t xml:space="preserve"> asfaltbetona seguma jaunbūves, pārbūves vai atjaunošanas būvdarbus ar kopējo apjomu vismaz 3000 m².</w:t>
            </w:r>
          </w:p>
        </w:tc>
      </w:tr>
      <w:tr w:rsidR="000810AF" w:rsidRPr="00695A0D" w14:paraId="02F64CB0"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A5FD5" w14:textId="633F409F" w:rsidR="000810AF" w:rsidRPr="00B53BA5" w:rsidRDefault="000810AF" w:rsidP="000810AF">
            <w:pPr>
              <w:pStyle w:val="NormalWeb"/>
              <w:jc w:val="both"/>
              <w:rPr>
                <w:sz w:val="22"/>
                <w:szCs w:val="22"/>
              </w:rPr>
            </w:pPr>
            <w:r w:rsidRPr="00B53BA5">
              <w:rPr>
                <w:sz w:val="22"/>
                <w:szCs w:val="22"/>
              </w:rPr>
              <w:t>13)</w:t>
            </w:r>
            <w:r w:rsidRPr="00B53BA5">
              <w:rPr>
                <w:sz w:val="22"/>
                <w:szCs w:val="22"/>
              </w:rPr>
              <w:tab/>
              <w:t xml:space="preserve">Nolikuma 15.14. punktā ir noteikts, ka projektu vadītājam piecos iepriekšējos gados (2014., 2015., 2016., 2017., 2018. un 2019.gads līdz piedāvājumu iesniegšanai) ir jābūt projektu vadītāja pieredzei vismaz vienā būvdarbu līgumā ar līgumcenu vismaz 2 000 000 euro bez PVN. Lūdzam apstiprināt, ka par atbilstošu pieredzi tiks uzskatīta pieredze jebkāda būvdarba līguma izpildē, neskatoties uz veicamo darbu raksturu, piemēram, dzelzceļa būvdarbu līgumā? </w:t>
            </w:r>
          </w:p>
          <w:p w14:paraId="451D7857" w14:textId="77777777" w:rsidR="00002456" w:rsidRDefault="000810AF" w:rsidP="000810AF">
            <w:pPr>
              <w:pStyle w:val="NormalWeb"/>
              <w:jc w:val="both"/>
              <w:rPr>
                <w:sz w:val="22"/>
                <w:szCs w:val="22"/>
              </w:rPr>
            </w:pPr>
            <w:r w:rsidRPr="00AA6A1A">
              <w:rPr>
                <w:sz w:val="22"/>
                <w:szCs w:val="22"/>
              </w:rPr>
              <w:t>Ņemot vērā, ka projekta vadītāja pienākumus neregulē nekādi būvnormatīvi, lūdzam norādīt, konkrēti kādi pienākumi šim speciālistam būs jāveic.</w:t>
            </w:r>
          </w:p>
          <w:p w14:paraId="6313311D" w14:textId="093B5AF7" w:rsidR="00441807" w:rsidRPr="00B53BA5" w:rsidRDefault="00441807" w:rsidP="000810AF">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005AA" w14:textId="42AD15F0" w:rsidR="000810AF" w:rsidRPr="00AA6A1A" w:rsidRDefault="0027075A" w:rsidP="00AA6A1A">
            <w:pPr>
              <w:jc w:val="both"/>
              <w:rPr>
                <w:sz w:val="22"/>
                <w:szCs w:val="22"/>
                <w:lang w:val="lv-LV"/>
              </w:rPr>
            </w:pPr>
            <w:r w:rsidRPr="00AA6A1A">
              <w:rPr>
                <w:sz w:val="22"/>
                <w:szCs w:val="22"/>
                <w:lang w:val="lv-LV"/>
              </w:rPr>
              <w:t>Projektu vadītājs savu darbību veic atbilstoši L</w:t>
            </w:r>
            <w:r w:rsidR="00AA6A1A" w:rsidRPr="00AA6A1A">
              <w:rPr>
                <w:sz w:val="22"/>
                <w:szCs w:val="22"/>
                <w:lang w:val="lv-LV"/>
              </w:rPr>
              <w:t xml:space="preserve">atvijas </w:t>
            </w:r>
            <w:r w:rsidRPr="00AA6A1A">
              <w:rPr>
                <w:sz w:val="22"/>
                <w:szCs w:val="22"/>
                <w:lang w:val="lv-LV"/>
              </w:rPr>
              <w:t>R</w:t>
            </w:r>
            <w:r w:rsidR="00AA6A1A" w:rsidRPr="00AA6A1A">
              <w:rPr>
                <w:sz w:val="22"/>
                <w:szCs w:val="22"/>
                <w:lang w:val="lv-LV"/>
              </w:rPr>
              <w:t>epublikas</w:t>
            </w:r>
            <w:r w:rsidRPr="00AA6A1A">
              <w:rPr>
                <w:sz w:val="22"/>
                <w:szCs w:val="22"/>
                <w:lang w:val="lv-LV"/>
              </w:rPr>
              <w:t>, starptautiskajiem un nozares normatīvajiem aktiem, kā arī starptautiskajiem projektu vadīšanas standartiem un vadlīnijām</w:t>
            </w:r>
            <w:r w:rsidR="00AA6A1A" w:rsidRPr="00AA6A1A">
              <w:rPr>
                <w:sz w:val="22"/>
                <w:szCs w:val="22"/>
                <w:lang w:val="lv-LV"/>
              </w:rPr>
              <w:t>, lai nodrošinātu pienācīgu un savlaicīgu līguma izpildi</w:t>
            </w:r>
            <w:r w:rsidRPr="00AA6A1A">
              <w:rPr>
                <w:sz w:val="22"/>
                <w:szCs w:val="22"/>
                <w:lang w:val="lv-LV"/>
              </w:rPr>
              <w:t>.</w:t>
            </w:r>
          </w:p>
        </w:tc>
      </w:tr>
      <w:tr w:rsidR="000810AF" w:rsidRPr="00AA6A1A" w14:paraId="44C3FFEF"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B30E5" w14:textId="77777777" w:rsidR="000810AF" w:rsidRDefault="000810AF" w:rsidP="0023489D">
            <w:pPr>
              <w:pStyle w:val="NormalWeb"/>
              <w:jc w:val="both"/>
              <w:rPr>
                <w:sz w:val="22"/>
                <w:szCs w:val="22"/>
              </w:rPr>
            </w:pPr>
            <w:r w:rsidRPr="00B53BA5">
              <w:rPr>
                <w:sz w:val="22"/>
                <w:szCs w:val="22"/>
              </w:rPr>
              <w:t>14)</w:t>
            </w:r>
            <w:r w:rsidRPr="00B53BA5">
              <w:rPr>
                <w:sz w:val="22"/>
                <w:szCs w:val="22"/>
              </w:rPr>
              <w:tab/>
              <w:t xml:space="preserve"> Nolikuma 22.7.2.1.punktā ir noteikts, ka piedāvājumā jāiesniedz ūdens un kanalizācijas sistēmu nepārtrauktas darbības pasākumu apraksts, jaunu sistēmas izbūves vai esošo sistēmu rekonstrukcijas laikā un ierobežoto ūdens un kanalizācijas nepārtrauktās darbības posmu plāni, shēmas. Lai sagatavotu minēto plānu, lūdzam iesniegt 2 km rādiusā no darbu veikšanas vietas esošo ūdens un kanalizācijas tīklu plānus, shēmas un tehniskos parametru, kā arī 1 km attālumā esošo patērētāju ūdens patēriņa statistiku par pēdējo gadu.</w:t>
            </w:r>
          </w:p>
          <w:p w14:paraId="0B2907FD" w14:textId="03D82E0C"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423BF5" w14:textId="77777777" w:rsidR="00441807" w:rsidRDefault="00441807" w:rsidP="00441807">
            <w:pPr>
              <w:jc w:val="both"/>
              <w:rPr>
                <w:sz w:val="22"/>
                <w:szCs w:val="22"/>
                <w:lang w:val="lv-LV"/>
              </w:rPr>
            </w:pPr>
            <w:r>
              <w:rPr>
                <w:sz w:val="22"/>
                <w:szCs w:val="22"/>
                <w:lang w:val="lv-LV"/>
              </w:rPr>
              <w:t>Saskaņā ar Nolikuma 22.7.2.1. punktā noteikto, Būvuzņēmējam ir jāiesniedz ū</w:t>
            </w:r>
            <w:r w:rsidRPr="00CB5595">
              <w:rPr>
                <w:sz w:val="22"/>
                <w:szCs w:val="22"/>
                <w:lang w:val="lv-LV"/>
              </w:rPr>
              <w:t>densapgādes un kanalizācijas nepārtrauktības nodrošināšana</w:t>
            </w:r>
            <w:r>
              <w:rPr>
                <w:sz w:val="22"/>
                <w:szCs w:val="22"/>
                <w:lang w:val="lv-LV"/>
              </w:rPr>
              <w:t>s</w:t>
            </w:r>
            <w:r w:rsidRPr="00CB5595">
              <w:rPr>
                <w:sz w:val="22"/>
                <w:szCs w:val="22"/>
                <w:lang w:val="lv-LV"/>
              </w:rPr>
              <w:t xml:space="preserve"> – ūdens un kanalizācijas sistēmu nepārtrauktas darbības pasākumu apraksts, jaunu sistēmas izbūves vai esošo sistēmu rekonstrukcijas laikā un ierobežoto ūdens un kanalizācijas nepārtrauktās darbības posmu plāni, shēmas</w:t>
            </w:r>
            <w:r>
              <w:rPr>
                <w:sz w:val="22"/>
                <w:szCs w:val="22"/>
                <w:lang w:val="lv-LV"/>
              </w:rPr>
              <w:t>. Minētos plānus un shēmas Pasūtītājs izvērtēs iesniegto piedāvājumu vērtēšanas gaitā.</w:t>
            </w:r>
          </w:p>
          <w:p w14:paraId="53BBAFB1" w14:textId="526ADA36" w:rsidR="00441807" w:rsidRDefault="00441807" w:rsidP="00441807">
            <w:pPr>
              <w:jc w:val="both"/>
              <w:rPr>
                <w:sz w:val="22"/>
                <w:szCs w:val="22"/>
                <w:lang w:val="lv-LV"/>
              </w:rPr>
            </w:pPr>
            <w:r>
              <w:rPr>
                <w:sz w:val="22"/>
                <w:szCs w:val="22"/>
                <w:lang w:val="lv-LV"/>
              </w:rPr>
              <w:t xml:space="preserve"> </w:t>
            </w:r>
          </w:p>
          <w:p w14:paraId="2735B4EE" w14:textId="77777777" w:rsidR="000810AF" w:rsidRDefault="00441807" w:rsidP="00441807">
            <w:pPr>
              <w:jc w:val="both"/>
              <w:rPr>
                <w:sz w:val="22"/>
                <w:szCs w:val="22"/>
                <w:lang w:val="lv-LV"/>
              </w:rPr>
            </w:pPr>
            <w:r w:rsidRPr="00A804F1">
              <w:rPr>
                <w:sz w:val="22"/>
                <w:szCs w:val="22"/>
                <w:lang w:val="lv-LV"/>
              </w:rPr>
              <w:t>P</w:t>
            </w:r>
            <w:r>
              <w:rPr>
                <w:sz w:val="22"/>
                <w:szCs w:val="22"/>
                <w:lang w:val="lv-LV"/>
              </w:rPr>
              <w:t>retendentam</w:t>
            </w:r>
            <w:r w:rsidRPr="00A804F1">
              <w:rPr>
                <w:sz w:val="22"/>
                <w:szCs w:val="22"/>
                <w:lang w:val="lv-LV"/>
              </w:rPr>
              <w:t xml:space="preserve"> ir iespēja veikt objektu brīvprātīgu apskati, iepriekš sazinoties ar Pasūtītāja kontaktpersonu - SIA „Daugavpils ūdens” mehāniķi Aleksandru Mihailovu tālr. 20229908.</w:t>
            </w:r>
          </w:p>
          <w:p w14:paraId="40241EF2" w14:textId="6F583D54" w:rsidR="00441807" w:rsidRPr="004F6B26" w:rsidRDefault="00441807" w:rsidP="00441807">
            <w:pPr>
              <w:jc w:val="both"/>
              <w:rPr>
                <w:lang w:val="lv-LV"/>
              </w:rPr>
            </w:pPr>
          </w:p>
        </w:tc>
      </w:tr>
      <w:tr w:rsidR="000810AF" w:rsidRPr="000B2AE1" w14:paraId="1B63D674" w14:textId="77777777" w:rsidTr="00674549">
        <w:trPr>
          <w:trHeight w:val="559"/>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4F3169" w14:textId="77777777" w:rsidR="000810AF" w:rsidRDefault="000810AF" w:rsidP="0023489D">
            <w:pPr>
              <w:pStyle w:val="NormalWeb"/>
              <w:jc w:val="both"/>
              <w:rPr>
                <w:sz w:val="22"/>
                <w:szCs w:val="22"/>
              </w:rPr>
            </w:pPr>
            <w:r w:rsidRPr="00B53BA5">
              <w:rPr>
                <w:sz w:val="22"/>
                <w:szCs w:val="22"/>
              </w:rPr>
              <w:lastRenderedPageBreak/>
              <w:t>15)</w:t>
            </w:r>
            <w:r w:rsidRPr="00B53BA5">
              <w:rPr>
                <w:sz w:val="22"/>
                <w:szCs w:val="22"/>
              </w:rPr>
              <w:tab/>
              <w:t xml:space="preserve">Nolikuma 22.7.2.3. punktā ir noteikts, ka piedāvājumā jāiesniedz darbu provizoriskā programma, ievērojot iepirkumu procedūras nolikumā noteiktos termiņus, ņemot vērā nepieciešamo laiku visu saskaņojumu, piekrišanu un apstiprinājumu saņemšanai. </w:t>
            </w:r>
            <w:r w:rsidRPr="00D943BB">
              <w:rPr>
                <w:sz w:val="22"/>
                <w:szCs w:val="22"/>
              </w:rPr>
              <w:t>Lūdzam sniegt skaidrojumu, cik lielas un kādos gadījumos līguma izpildes laikā var būt nobīdes no iesniegtās darbu provizoriskās programmas, kā arī lūdzam norādīt, kuri konkrēti FIDIC “Sarkanā grāmata” būvniecības darbu līguma punkti būs piemērojami konkrētajā situācijā.</w:t>
            </w:r>
            <w:r w:rsidRPr="00B53BA5">
              <w:rPr>
                <w:sz w:val="22"/>
                <w:szCs w:val="22"/>
              </w:rPr>
              <w:t xml:space="preserve"> Ņemot vērā, ka atsevišķu saskaņojumu, piekrišanas un apstiprinājumu saņemšana ir atkarīga no Pasūtītāja, tad lūdzam veikt grozījumus termiņos neiekļaut laiku šo saskaņojumu, piekrišanas un apstiprinājumu saņemšanai, par ko ir atbildīgs pasūtītājs.</w:t>
            </w:r>
          </w:p>
          <w:p w14:paraId="4CCF1C07" w14:textId="43A6E294"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31E72" w14:textId="7DB3AEB0" w:rsidR="000810AF" w:rsidRPr="007F1A4C" w:rsidRDefault="007F1A4C" w:rsidP="007F1A4C">
            <w:pPr>
              <w:jc w:val="both"/>
              <w:rPr>
                <w:sz w:val="22"/>
                <w:szCs w:val="22"/>
                <w:lang w:val="lv-LV"/>
              </w:rPr>
            </w:pPr>
            <w:r w:rsidRPr="007F1A4C">
              <w:rPr>
                <w:sz w:val="22"/>
                <w:szCs w:val="22"/>
                <w:lang w:val="lv-LV"/>
              </w:rPr>
              <w:t>Skat</w:t>
            </w:r>
            <w:r w:rsidR="00D943BB">
              <w:rPr>
                <w:sz w:val="22"/>
                <w:szCs w:val="22"/>
                <w:lang w:val="lv-LV"/>
              </w:rPr>
              <w:t>.</w:t>
            </w:r>
            <w:r w:rsidRPr="007F1A4C">
              <w:rPr>
                <w:sz w:val="22"/>
                <w:szCs w:val="22"/>
                <w:lang w:val="lv-LV"/>
              </w:rPr>
              <w:t xml:space="preserve"> </w:t>
            </w:r>
            <w:r w:rsidR="00D943BB">
              <w:rPr>
                <w:sz w:val="22"/>
                <w:szCs w:val="22"/>
                <w:lang w:val="lv-LV"/>
              </w:rPr>
              <w:t>n</w:t>
            </w:r>
            <w:r w:rsidRPr="007F1A4C">
              <w:rPr>
                <w:sz w:val="22"/>
                <w:szCs w:val="22"/>
                <w:lang w:val="lv-LV"/>
              </w:rPr>
              <w:t>olikum</w:t>
            </w:r>
            <w:r w:rsidR="00AF4C81">
              <w:rPr>
                <w:sz w:val="22"/>
                <w:szCs w:val="22"/>
                <w:lang w:val="lv-LV"/>
              </w:rPr>
              <w:t>a</w:t>
            </w:r>
            <w:r w:rsidRPr="007F1A4C">
              <w:rPr>
                <w:sz w:val="22"/>
                <w:szCs w:val="22"/>
                <w:lang w:val="lv-LV"/>
              </w:rPr>
              <w:t xml:space="preserve"> 8.pielikum</w:t>
            </w:r>
            <w:r w:rsidR="00AF4C81">
              <w:rPr>
                <w:sz w:val="22"/>
                <w:szCs w:val="22"/>
                <w:lang w:val="lv-LV"/>
              </w:rPr>
              <w:t>a</w:t>
            </w:r>
            <w:r w:rsidRPr="007F1A4C">
              <w:rPr>
                <w:sz w:val="22"/>
                <w:szCs w:val="22"/>
                <w:lang w:val="lv-LV"/>
              </w:rPr>
              <w:t xml:space="preserve"> “Līguma vienošanās ar pielikumiem projekts” 8.3. punkta “Programma” noteikumus.</w:t>
            </w:r>
          </w:p>
        </w:tc>
      </w:tr>
      <w:tr w:rsidR="000810AF" w:rsidRPr="00695A0D" w14:paraId="160B0447"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01240" w14:textId="77777777" w:rsidR="00441807" w:rsidRDefault="000810AF" w:rsidP="0023489D">
            <w:pPr>
              <w:pStyle w:val="NormalWeb"/>
              <w:jc w:val="both"/>
              <w:rPr>
                <w:sz w:val="22"/>
                <w:szCs w:val="22"/>
              </w:rPr>
            </w:pPr>
            <w:r w:rsidRPr="00B53BA5">
              <w:rPr>
                <w:sz w:val="22"/>
                <w:szCs w:val="22"/>
              </w:rPr>
              <w:t>16)</w:t>
            </w:r>
            <w:r w:rsidRPr="00B53BA5">
              <w:rPr>
                <w:sz w:val="22"/>
                <w:szCs w:val="22"/>
              </w:rPr>
              <w:tab/>
              <w:t>Tehniskās specifikācijas 2.7.2.punktā ir noteikts, ka visiem transporta līdzekļiem un mehāniskām iekārtām, kas tiek izmantotas darba procesā, jābūt aprīkotām ar efektīviem trokšņa slāpētājiem un tie jāuztur labā un efektīvā darba kārtībā visā darbu veikšanas procesā. Lūdzam norādīt, ja transporta līdzeklis ir derīgs izmantošanai satiksmē vai tiks uzskatīts, ka tas ir aprīkots ar aprīkotām ar efektīviem trokšņa slāpētājiem un tie ir darba kārtībā?</w:t>
            </w:r>
          </w:p>
          <w:p w14:paraId="53C74F27" w14:textId="56B57681"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92084" w14:textId="293AFBBA" w:rsidR="000F0FBA" w:rsidRPr="000F0FBA" w:rsidRDefault="00441807" w:rsidP="000F0FBA">
            <w:pPr>
              <w:pStyle w:val="Teksts"/>
              <w:rPr>
                <w:sz w:val="22"/>
              </w:rPr>
            </w:pPr>
            <w:r w:rsidRPr="000F0FBA">
              <w:rPr>
                <w:sz w:val="22"/>
              </w:rPr>
              <w:t>Tehniskās specifikācijas 2.7.2.</w:t>
            </w:r>
            <w:r w:rsidR="00AF4C81">
              <w:rPr>
                <w:sz w:val="22"/>
              </w:rPr>
              <w:t>punktā</w:t>
            </w:r>
            <w:r w:rsidRPr="000F0FBA">
              <w:rPr>
                <w:sz w:val="22"/>
              </w:rPr>
              <w:t xml:space="preserve"> </w:t>
            </w:r>
            <w:r w:rsidR="000F0FBA" w:rsidRPr="000F0FBA">
              <w:rPr>
                <w:sz w:val="22"/>
              </w:rPr>
              <w:t xml:space="preserve">ir norādīts, ka Būvuzņēmējam jānodrošina, ka skaņas līmenis, kas rodas darbību rezultātā, nepārsniedz Latvijas Republikas normatīvo aktu un likumdošanā noteikto robežu. </w:t>
            </w:r>
          </w:p>
          <w:p w14:paraId="20346B74" w14:textId="08F87625" w:rsidR="000810AF" w:rsidRPr="004F6B26" w:rsidRDefault="000810AF" w:rsidP="00BD198F">
            <w:pPr>
              <w:rPr>
                <w:lang w:val="lv-LV"/>
              </w:rPr>
            </w:pPr>
          </w:p>
        </w:tc>
      </w:tr>
      <w:tr w:rsidR="000810AF" w:rsidRPr="00695A0D" w14:paraId="6F1F2D4B" w14:textId="77777777" w:rsidTr="008F4FB1">
        <w:trPr>
          <w:trHeight w:val="1630"/>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6061C" w14:textId="77777777" w:rsidR="000810AF" w:rsidRDefault="000810AF" w:rsidP="0023489D">
            <w:pPr>
              <w:pStyle w:val="NormalWeb"/>
              <w:jc w:val="both"/>
              <w:rPr>
                <w:sz w:val="22"/>
                <w:szCs w:val="22"/>
              </w:rPr>
            </w:pPr>
            <w:r w:rsidRPr="00B53BA5">
              <w:rPr>
                <w:sz w:val="22"/>
                <w:szCs w:val="22"/>
              </w:rPr>
              <w:t>17)</w:t>
            </w:r>
            <w:r w:rsidRPr="00B53BA5">
              <w:rPr>
                <w:sz w:val="22"/>
                <w:szCs w:val="22"/>
              </w:rPr>
              <w:tab/>
              <w:t>Tehniskās specifikācijas 2.7.2.punktā ir noteikts, ka Būvuzņēmējam jāpārtrauc tādu iekārtas sastāvdaļu izmantošana, kas pēc (Inženiera) Būvuzrauga viedokļa ir neefektīvi apslāpētas. Lūdzam sniegt skaidrojumu, kas šī līguma izpildē tiks uzskatīts par “neefektīvi apslāpētas”?</w:t>
            </w:r>
          </w:p>
          <w:p w14:paraId="4E0512B9" w14:textId="5418DD7E"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BE885" w14:textId="290B6056" w:rsidR="000F0FBA" w:rsidRPr="000F0FBA" w:rsidRDefault="000F0FBA" w:rsidP="000F0FBA">
            <w:pPr>
              <w:pStyle w:val="Teksts"/>
              <w:rPr>
                <w:sz w:val="22"/>
              </w:rPr>
            </w:pPr>
            <w:r w:rsidRPr="000F0FBA">
              <w:rPr>
                <w:sz w:val="22"/>
              </w:rPr>
              <w:t>Tehniskās specifikācijas 2.7.2.</w:t>
            </w:r>
            <w:r w:rsidR="001628AB">
              <w:rPr>
                <w:sz w:val="22"/>
              </w:rPr>
              <w:t>punktā</w:t>
            </w:r>
            <w:r w:rsidRPr="000F0FBA">
              <w:rPr>
                <w:sz w:val="22"/>
              </w:rPr>
              <w:t xml:space="preserve"> ir norādīts, ka Būvuzņēmējam jānodrošina, ka skaņas līmenis, kas rodas darbību rezultātā, nepārsniedz Latvijas Republikas normatīvo aktu un likumdošanā noteikto robežu. </w:t>
            </w:r>
          </w:p>
          <w:p w14:paraId="33AC2BF5" w14:textId="77777777" w:rsidR="000810AF" w:rsidRPr="004F6B26" w:rsidRDefault="000810AF" w:rsidP="00BD198F">
            <w:pPr>
              <w:rPr>
                <w:lang w:val="lv-LV"/>
              </w:rPr>
            </w:pPr>
          </w:p>
        </w:tc>
      </w:tr>
      <w:tr w:rsidR="000810AF" w:rsidRPr="00695A0D" w14:paraId="60B41FE1" w14:textId="77777777" w:rsidTr="00A0389C">
        <w:trPr>
          <w:trHeight w:val="197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95AF4" w14:textId="77777777" w:rsidR="000810AF" w:rsidRDefault="000810AF" w:rsidP="0023489D">
            <w:pPr>
              <w:pStyle w:val="NormalWeb"/>
              <w:jc w:val="both"/>
              <w:rPr>
                <w:sz w:val="22"/>
                <w:szCs w:val="22"/>
              </w:rPr>
            </w:pPr>
            <w:r w:rsidRPr="00B53BA5">
              <w:rPr>
                <w:sz w:val="22"/>
                <w:szCs w:val="22"/>
              </w:rPr>
              <w:t>18)</w:t>
            </w:r>
            <w:r w:rsidRPr="00B53BA5">
              <w:rPr>
                <w:sz w:val="22"/>
                <w:szCs w:val="22"/>
              </w:rPr>
              <w:tab/>
              <w:t xml:space="preserve">Tehniskās specifikācijas 3.6.punktā ir noteikts, ka, ja būvprojektos paredzēts vai būvniecības darbu gaitā rādīsies ūdens līmeņa pazemināšanas un gruntsūdeņu novadīšanas nepieciešamība, Būvuzņēmējam jāparedz viss ar to saistīto darbu komplekss un nepieciešamais aprīkojums, cauruļvadi par saviem līdzekļiem, ieskaitot izdevumus elektroapgādes nodrošināšanai šiem mērķiem. </w:t>
            </w:r>
            <w:r w:rsidRPr="00D943BB">
              <w:rPr>
                <w:sz w:val="22"/>
                <w:szCs w:val="22"/>
              </w:rPr>
              <w:t>Lūdzam sniegt skaidrojumu, vai novadāmo ūdeni būs iespējams novadīt Pasūtītāja kanalizācijas sistēmā un vai par to tiks prasīt papildus samaksa, kāda tā būs un kā tiks aprēķināta?</w:t>
            </w:r>
          </w:p>
          <w:p w14:paraId="0B49A3D2" w14:textId="71554A1E" w:rsidR="00441807" w:rsidRPr="00B53BA5" w:rsidRDefault="00441807"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E6923" w14:textId="4153F7A3" w:rsidR="000810AF" w:rsidRPr="004F6B26" w:rsidRDefault="00D943BB" w:rsidP="00D943BB">
            <w:pPr>
              <w:jc w:val="both"/>
              <w:rPr>
                <w:lang w:val="lv-LV"/>
              </w:rPr>
            </w:pPr>
            <w:r w:rsidRPr="00D943BB">
              <w:rPr>
                <w:sz w:val="22"/>
                <w:lang w:val="lv-LV"/>
              </w:rPr>
              <w:t>Būvniecības laikā ūdens novadīšanas   iespējamība Pasūtītāja kanalizācijas sistēmā  jābūt  rakstveidā saskaņotai ar Pasūtītāju.</w:t>
            </w:r>
          </w:p>
        </w:tc>
      </w:tr>
      <w:tr w:rsidR="000810AF" w:rsidRPr="00695A0D" w14:paraId="4C71A17A" w14:textId="77777777" w:rsidTr="008F4FB1">
        <w:trPr>
          <w:trHeight w:val="555"/>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C196C" w14:textId="77777777" w:rsidR="000810AF" w:rsidRDefault="000810AF" w:rsidP="0023489D">
            <w:pPr>
              <w:pStyle w:val="NormalWeb"/>
              <w:jc w:val="both"/>
              <w:rPr>
                <w:sz w:val="22"/>
                <w:szCs w:val="22"/>
              </w:rPr>
            </w:pPr>
            <w:r w:rsidRPr="00B53BA5">
              <w:rPr>
                <w:sz w:val="22"/>
                <w:szCs w:val="22"/>
              </w:rPr>
              <w:t>19)</w:t>
            </w:r>
            <w:r w:rsidRPr="00B53BA5">
              <w:rPr>
                <w:sz w:val="22"/>
                <w:szCs w:val="22"/>
              </w:rPr>
              <w:tab/>
              <w:t xml:space="preserve">Esam saņēmuši materiālu piegādātāju viedokli, ka projektā ir norādīta caurule SDR17, </w:t>
            </w:r>
            <w:r w:rsidRPr="00B53BA5">
              <w:rPr>
                <w:sz w:val="22"/>
                <w:szCs w:val="22"/>
              </w:rPr>
              <w:lastRenderedPageBreak/>
              <w:t>tomēr šī caurule nav pieteikami izturīga un plīsīs pie tās ielikšanas darbiem (neatkarīgi no tā, ir vai nav apvalkcaurule). Piemēram, būvprojektā skatīt rasējumu BP UKT lapa Nr. 4 un lapa Nr.7. Lūdzam sniegt apstiprinājumu un skaidrojumu, vai projektā ir norādīta pareiza caurules marka SDR17? Vai varbūt nepieciešama cita caurules marka SDR16 vai SDR11?</w:t>
            </w:r>
          </w:p>
          <w:p w14:paraId="03D1E18D" w14:textId="4724018B" w:rsidR="000F0FBA" w:rsidRPr="00B53BA5" w:rsidRDefault="000F0FBA" w:rsidP="0023489D">
            <w:pPr>
              <w:pStyle w:val="NormalWeb"/>
              <w:jc w:val="both"/>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2BE08" w14:textId="7BCC2169" w:rsidR="000810AF" w:rsidRDefault="000F0FBA" w:rsidP="000F0FBA">
            <w:pPr>
              <w:jc w:val="both"/>
              <w:rPr>
                <w:lang w:val="lv-LV"/>
              </w:rPr>
            </w:pPr>
            <w:r>
              <w:rPr>
                <w:sz w:val="22"/>
                <w:szCs w:val="22"/>
                <w:lang w:val="lv-LV"/>
              </w:rPr>
              <w:lastRenderedPageBreak/>
              <w:t xml:space="preserve">Vēršam uzmanību, ka Būvuzņēmējam ir jāveic </w:t>
            </w:r>
            <w:r w:rsidRPr="001E5EC8">
              <w:rPr>
                <w:sz w:val="22"/>
                <w:szCs w:val="22"/>
                <w:lang w:val="lv-LV"/>
              </w:rPr>
              <w:t xml:space="preserve">maģistrālo ūdensapgādes un kanalizācijas tīklu </w:t>
            </w:r>
            <w:r w:rsidRPr="001E5EC8">
              <w:rPr>
                <w:sz w:val="22"/>
                <w:szCs w:val="22"/>
                <w:lang w:val="lv-LV"/>
              </w:rPr>
              <w:lastRenderedPageBreak/>
              <w:t xml:space="preserve">būvniecība Judovkas rajonā, Daugavpilī, Kohēzijas fonda līdzfinansēta projekta “Ūdensapgādes un kanalizācijas sistēmas attīstība Judovkas rajonā, Daugavpilī” (SAM 5.3.1.) saskaņā ar FIDIC būvniecības darbu līguma un līguma vienošanās </w:t>
            </w:r>
            <w:r w:rsidRPr="00B521A0">
              <w:rPr>
                <w:sz w:val="22"/>
                <w:szCs w:val="22"/>
                <w:lang w:val="lv-LV"/>
              </w:rPr>
              <w:t xml:space="preserve">noteikumiem, Tehnisko specifikāciju un </w:t>
            </w:r>
            <w:r w:rsidRPr="000F0FBA">
              <w:rPr>
                <w:sz w:val="22"/>
                <w:szCs w:val="22"/>
                <w:u w:val="single"/>
                <w:lang w:val="lv-LV"/>
              </w:rPr>
              <w:t>būvprojektiem.</w:t>
            </w:r>
          </w:p>
          <w:p w14:paraId="07AD80F1" w14:textId="77777777" w:rsidR="000F0FBA" w:rsidRDefault="000F0FBA" w:rsidP="00BD198F">
            <w:pPr>
              <w:rPr>
                <w:lang w:val="lv-LV"/>
              </w:rPr>
            </w:pPr>
          </w:p>
          <w:p w14:paraId="1FF120AF" w14:textId="77777777" w:rsidR="000F0FBA" w:rsidRPr="007620F2" w:rsidRDefault="000F0FBA" w:rsidP="000F0FBA">
            <w:pPr>
              <w:overflowPunct w:val="0"/>
              <w:autoSpaceDE w:val="0"/>
              <w:autoSpaceDN w:val="0"/>
              <w:adjustRightInd w:val="0"/>
              <w:jc w:val="both"/>
              <w:rPr>
                <w:bCs/>
                <w:sz w:val="22"/>
                <w:szCs w:val="22"/>
                <w:lang w:val="lv-LV" w:eastAsia="lv-LV"/>
              </w:rPr>
            </w:pPr>
            <w:r w:rsidRPr="007620F2">
              <w:rPr>
                <w:bCs/>
                <w:sz w:val="22"/>
                <w:szCs w:val="22"/>
                <w:lang w:val="lv-LV" w:eastAsia="lv-LV"/>
              </w:rPr>
              <w:t xml:space="preserve">Vēršam uzmanību, ka </w:t>
            </w:r>
            <w:r>
              <w:rPr>
                <w:bCs/>
                <w:sz w:val="22"/>
                <w:szCs w:val="22"/>
                <w:lang w:val="lv-LV" w:eastAsia="lv-LV"/>
              </w:rPr>
              <w:t>i</w:t>
            </w:r>
            <w:r w:rsidRPr="007620F2">
              <w:rPr>
                <w:bCs/>
                <w:sz w:val="22"/>
                <w:szCs w:val="22"/>
                <w:lang w:val="lv-LV" w:eastAsia="lv-LV"/>
              </w:rPr>
              <w:t>epirkuma komisija pieņem lēmumu par iesniegtā piedāvājuma atbilstību vai neatbilstību nolikuma prasībām tikai piedāvājumu vērtēšanas stadijā. Iepirkumu komisija nesniedz vērtējumus un komentārus (apstiprinot vai apliecinot) par to, vai piegādātāju gatavotie piedāvājumi būs vai nebūs atbilstoši nolikuma prasībām.</w:t>
            </w:r>
          </w:p>
          <w:p w14:paraId="25C6888F" w14:textId="32E75348" w:rsidR="000F0FBA" w:rsidRPr="004F6B26" w:rsidRDefault="000F0FBA" w:rsidP="00BD198F">
            <w:pPr>
              <w:rPr>
                <w:lang w:val="lv-LV"/>
              </w:rPr>
            </w:pPr>
          </w:p>
        </w:tc>
      </w:tr>
      <w:tr w:rsidR="000810AF" w:rsidRPr="00695A0D" w14:paraId="2DBCA529" w14:textId="77777777" w:rsidTr="00674549">
        <w:trPr>
          <w:trHeight w:val="989"/>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5CB06" w14:textId="78F05FD5" w:rsidR="000810AF" w:rsidRPr="00674549" w:rsidRDefault="000810AF" w:rsidP="00674549">
            <w:pPr>
              <w:rPr>
                <w:rFonts w:eastAsiaTheme="minorHAnsi"/>
                <w:color w:val="000000"/>
                <w:sz w:val="22"/>
                <w:szCs w:val="22"/>
                <w:lang w:val="lv-LV" w:eastAsia="lv-LV"/>
              </w:rPr>
            </w:pPr>
            <w:r w:rsidRPr="00B53BA5">
              <w:rPr>
                <w:rFonts w:eastAsiaTheme="minorHAnsi"/>
                <w:color w:val="000000"/>
                <w:sz w:val="22"/>
                <w:szCs w:val="22"/>
                <w:lang w:val="lv-LV" w:eastAsia="lv-LV"/>
              </w:rPr>
              <w:lastRenderedPageBreak/>
              <w:t>20)</w:t>
            </w:r>
            <w:r w:rsidRPr="00B53BA5">
              <w:rPr>
                <w:rFonts w:eastAsiaTheme="minorHAnsi"/>
                <w:color w:val="000000"/>
                <w:sz w:val="22"/>
                <w:szCs w:val="22"/>
                <w:lang w:val="lv-LV" w:eastAsia="lv-LV"/>
              </w:rPr>
              <w:tab/>
              <w:t>Vēlamies vērst Jūsu uzmanību un precizēt, vai patiešām caurduramā dīķera caurulēm zem Daugavas visā garumā nav nepieciešama apvalkcaurule (aizsargapvalks)?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1BFE1" w14:textId="77777777" w:rsidR="000F0FBA" w:rsidRDefault="000F0FBA" w:rsidP="00B670E3">
            <w:pPr>
              <w:jc w:val="both"/>
              <w:rPr>
                <w:lang w:val="lv-LV"/>
              </w:rPr>
            </w:pPr>
            <w:r>
              <w:rPr>
                <w:sz w:val="22"/>
                <w:szCs w:val="22"/>
                <w:lang w:val="lv-LV"/>
              </w:rPr>
              <w:t xml:space="preserve">Vēršam uzmanību, ka Būvuzņēmējam ir jāveic </w:t>
            </w:r>
            <w:r w:rsidRPr="001E5EC8">
              <w:rPr>
                <w:sz w:val="22"/>
                <w:szCs w:val="22"/>
                <w:lang w:val="lv-LV"/>
              </w:rPr>
              <w:t xml:space="preserve">maģistrālo ūdensapgādes un kanalizācijas tīklu būvniecība Judovkas rajonā, Daugavpilī, Kohēzijas fonda līdzfinansēta projekta “Ūdensapgādes un kanalizācijas sistēmas attīstība Judovkas rajonā, Daugavpilī” (SAM 5.3.1.) saskaņā ar FIDIC būvniecības darbu līguma un līguma vienošanās </w:t>
            </w:r>
            <w:r w:rsidRPr="00B521A0">
              <w:rPr>
                <w:sz w:val="22"/>
                <w:szCs w:val="22"/>
                <w:lang w:val="lv-LV"/>
              </w:rPr>
              <w:t xml:space="preserve">noteikumiem, Tehnisko specifikāciju un </w:t>
            </w:r>
            <w:r w:rsidRPr="000F0FBA">
              <w:rPr>
                <w:sz w:val="22"/>
                <w:szCs w:val="22"/>
                <w:u w:val="single"/>
                <w:lang w:val="lv-LV"/>
              </w:rPr>
              <w:t>būvprojektiem.</w:t>
            </w:r>
          </w:p>
          <w:p w14:paraId="0BAAAD07" w14:textId="77777777" w:rsidR="000810AF" w:rsidRPr="004F6B26" w:rsidRDefault="000810AF" w:rsidP="00BD198F">
            <w:pPr>
              <w:rPr>
                <w:lang w:val="lv-LV"/>
              </w:rPr>
            </w:pPr>
          </w:p>
        </w:tc>
      </w:tr>
    </w:tbl>
    <w:p w14:paraId="3C06ED26" w14:textId="77777777" w:rsidR="00D24BDD" w:rsidRDefault="00D24BDD" w:rsidP="00AF703D">
      <w:pPr>
        <w:jc w:val="both"/>
        <w:rPr>
          <w:lang w:val="lv-LV" w:eastAsia="lv-LV"/>
        </w:rPr>
      </w:pPr>
    </w:p>
    <w:p w14:paraId="314540B6" w14:textId="37F8FC4D" w:rsidR="00A04605" w:rsidRDefault="00A04605" w:rsidP="00A04605">
      <w:pPr>
        <w:jc w:val="both"/>
        <w:rPr>
          <w:lang w:val="lv-LV"/>
        </w:rPr>
      </w:pPr>
    </w:p>
    <w:p w14:paraId="7AC7C526" w14:textId="77777777" w:rsidR="00A04605" w:rsidRDefault="00A04605" w:rsidP="00A04605">
      <w:pPr>
        <w:pStyle w:val="Standard"/>
        <w:rPr>
          <w:lang w:val="lv-LV"/>
        </w:rPr>
      </w:pPr>
      <w:r>
        <w:rPr>
          <w:lang w:val="lv-LV"/>
        </w:rPr>
        <w:t>Ar cieņu</w:t>
      </w:r>
    </w:p>
    <w:p w14:paraId="5CE348C6" w14:textId="5A67C50C" w:rsidR="00A04605" w:rsidRDefault="00A04605" w:rsidP="00A04605">
      <w:pPr>
        <w:pStyle w:val="Standard"/>
        <w:rPr>
          <w:lang w:val="lv-LV"/>
        </w:rPr>
      </w:pPr>
      <w:r>
        <w:rPr>
          <w:lang w:val="lv-LV"/>
        </w:rPr>
        <w:t xml:space="preserve">Iepirkuma komisijas priekšsēdētāja                                                                </w:t>
      </w:r>
      <w:r>
        <w:rPr>
          <w:lang w:val="lv-LV"/>
        </w:rPr>
        <w:tab/>
      </w:r>
      <w:bookmarkStart w:id="2" w:name="_GoBack"/>
      <w:bookmarkEnd w:id="2"/>
    </w:p>
    <w:p w14:paraId="166BCB71" w14:textId="77777777" w:rsidR="00A04605" w:rsidRDefault="00A04605" w:rsidP="00A04605">
      <w:pPr>
        <w:pStyle w:val="Standard"/>
        <w:rPr>
          <w:sz w:val="16"/>
          <w:szCs w:val="16"/>
          <w:lang w:val="lv-LV"/>
        </w:rPr>
      </w:pPr>
    </w:p>
    <w:p w14:paraId="40687D07" w14:textId="458EF376" w:rsidR="00A04605" w:rsidRDefault="00A04605" w:rsidP="00A04605">
      <w:pPr>
        <w:pStyle w:val="Standard"/>
        <w:rPr>
          <w:sz w:val="16"/>
          <w:szCs w:val="16"/>
          <w:lang w:val="lv-LV"/>
        </w:rPr>
      </w:pPr>
    </w:p>
    <w:p w14:paraId="181ED3E8" w14:textId="71B41D2E" w:rsidR="00E1164B" w:rsidRDefault="00E1164B" w:rsidP="00A04605">
      <w:pPr>
        <w:pStyle w:val="Standard"/>
        <w:rPr>
          <w:sz w:val="16"/>
          <w:szCs w:val="16"/>
          <w:lang w:val="lv-LV"/>
        </w:rPr>
      </w:pPr>
    </w:p>
    <w:p w14:paraId="1BD347B7" w14:textId="1372E9FC" w:rsidR="00E1164B" w:rsidRDefault="00E1164B" w:rsidP="00A04605">
      <w:pPr>
        <w:pStyle w:val="Standard"/>
        <w:rPr>
          <w:sz w:val="16"/>
          <w:szCs w:val="16"/>
          <w:lang w:val="lv-LV"/>
        </w:rPr>
      </w:pPr>
    </w:p>
    <w:p w14:paraId="422600BF" w14:textId="46F77C86" w:rsidR="00E1164B" w:rsidRDefault="00E1164B" w:rsidP="00A04605">
      <w:pPr>
        <w:pStyle w:val="Standard"/>
        <w:rPr>
          <w:sz w:val="16"/>
          <w:szCs w:val="16"/>
          <w:lang w:val="lv-LV"/>
        </w:rPr>
      </w:pPr>
    </w:p>
    <w:p w14:paraId="585D7D85" w14:textId="77777777" w:rsidR="00E1164B" w:rsidRDefault="00E1164B" w:rsidP="00A04605">
      <w:pPr>
        <w:pStyle w:val="Standard"/>
        <w:rPr>
          <w:sz w:val="16"/>
          <w:szCs w:val="16"/>
          <w:lang w:val="lv-LV"/>
        </w:rPr>
      </w:pPr>
    </w:p>
    <w:p w14:paraId="648E00E2" w14:textId="034ADC74" w:rsidR="00DA1C90" w:rsidRDefault="00DA1C90" w:rsidP="00541115">
      <w:pPr>
        <w:pStyle w:val="Standard"/>
        <w:rPr>
          <w:sz w:val="16"/>
          <w:szCs w:val="16"/>
          <w:lang w:val="lv-LV"/>
        </w:rPr>
      </w:pPr>
    </w:p>
    <w:sectPr w:rsidR="00DA1C90" w:rsidSect="008F4FB1">
      <w:pgSz w:w="12240" w:h="15840"/>
      <w:pgMar w:top="851"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5F56" w14:textId="77777777" w:rsidR="007570C7" w:rsidRDefault="007570C7" w:rsidP="00743A15">
      <w:r>
        <w:separator/>
      </w:r>
    </w:p>
  </w:endnote>
  <w:endnote w:type="continuationSeparator" w:id="0">
    <w:p w14:paraId="5C481528" w14:textId="77777777" w:rsidR="007570C7" w:rsidRDefault="007570C7"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2AE6" w14:textId="77777777" w:rsidR="007570C7" w:rsidRDefault="007570C7" w:rsidP="00743A15">
      <w:r>
        <w:separator/>
      </w:r>
    </w:p>
  </w:footnote>
  <w:footnote w:type="continuationSeparator" w:id="0">
    <w:p w14:paraId="4653CA4B" w14:textId="77777777" w:rsidR="007570C7" w:rsidRDefault="007570C7"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2456"/>
    <w:rsid w:val="00020ED5"/>
    <w:rsid w:val="00034158"/>
    <w:rsid w:val="0003679F"/>
    <w:rsid w:val="00037BE8"/>
    <w:rsid w:val="00037CBF"/>
    <w:rsid w:val="00045E67"/>
    <w:rsid w:val="00046F6C"/>
    <w:rsid w:val="0004785C"/>
    <w:rsid w:val="00047B5F"/>
    <w:rsid w:val="00052F13"/>
    <w:rsid w:val="00056BC8"/>
    <w:rsid w:val="0006336E"/>
    <w:rsid w:val="00077ABB"/>
    <w:rsid w:val="00080D0B"/>
    <w:rsid w:val="000810AF"/>
    <w:rsid w:val="00093E70"/>
    <w:rsid w:val="000A25CC"/>
    <w:rsid w:val="000B2AE1"/>
    <w:rsid w:val="000D0304"/>
    <w:rsid w:val="000D0ABA"/>
    <w:rsid w:val="000F030B"/>
    <w:rsid w:val="000F0FBA"/>
    <w:rsid w:val="00103BB7"/>
    <w:rsid w:val="00106A8F"/>
    <w:rsid w:val="001100FF"/>
    <w:rsid w:val="00122F1B"/>
    <w:rsid w:val="0013143B"/>
    <w:rsid w:val="00144101"/>
    <w:rsid w:val="00145A38"/>
    <w:rsid w:val="001628AB"/>
    <w:rsid w:val="00174091"/>
    <w:rsid w:val="00176422"/>
    <w:rsid w:val="001929AC"/>
    <w:rsid w:val="001963C0"/>
    <w:rsid w:val="00197360"/>
    <w:rsid w:val="001B235C"/>
    <w:rsid w:val="001B564C"/>
    <w:rsid w:val="001C1A81"/>
    <w:rsid w:val="001C2897"/>
    <w:rsid w:val="001C5F6B"/>
    <w:rsid w:val="001C7AF0"/>
    <w:rsid w:val="001D4999"/>
    <w:rsid w:val="001D5EBF"/>
    <w:rsid w:val="001D7119"/>
    <w:rsid w:val="001F1F19"/>
    <w:rsid w:val="002124DB"/>
    <w:rsid w:val="00213A01"/>
    <w:rsid w:val="00216A24"/>
    <w:rsid w:val="0022119B"/>
    <w:rsid w:val="002212EE"/>
    <w:rsid w:val="00223643"/>
    <w:rsid w:val="00231CA4"/>
    <w:rsid w:val="0023489D"/>
    <w:rsid w:val="00236033"/>
    <w:rsid w:val="00246D57"/>
    <w:rsid w:val="00256AB1"/>
    <w:rsid w:val="00256BE6"/>
    <w:rsid w:val="00260620"/>
    <w:rsid w:val="00261095"/>
    <w:rsid w:val="00262693"/>
    <w:rsid w:val="00266A5B"/>
    <w:rsid w:val="0027075A"/>
    <w:rsid w:val="002720E3"/>
    <w:rsid w:val="00272469"/>
    <w:rsid w:val="00277D20"/>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282F"/>
    <w:rsid w:val="00312D01"/>
    <w:rsid w:val="0031318C"/>
    <w:rsid w:val="00323621"/>
    <w:rsid w:val="00327C40"/>
    <w:rsid w:val="00351C96"/>
    <w:rsid w:val="00352006"/>
    <w:rsid w:val="003533A6"/>
    <w:rsid w:val="00357EC4"/>
    <w:rsid w:val="00383767"/>
    <w:rsid w:val="003837D8"/>
    <w:rsid w:val="00383D43"/>
    <w:rsid w:val="00383DB6"/>
    <w:rsid w:val="00390009"/>
    <w:rsid w:val="0039080B"/>
    <w:rsid w:val="003B060B"/>
    <w:rsid w:val="003B1166"/>
    <w:rsid w:val="003C1BEE"/>
    <w:rsid w:val="003C5EF0"/>
    <w:rsid w:val="003D7304"/>
    <w:rsid w:val="003E0E00"/>
    <w:rsid w:val="003F014C"/>
    <w:rsid w:val="003F2482"/>
    <w:rsid w:val="003F63C1"/>
    <w:rsid w:val="0040088A"/>
    <w:rsid w:val="00401410"/>
    <w:rsid w:val="00410F27"/>
    <w:rsid w:val="0042105A"/>
    <w:rsid w:val="00421B66"/>
    <w:rsid w:val="00422333"/>
    <w:rsid w:val="00425497"/>
    <w:rsid w:val="00431ABC"/>
    <w:rsid w:val="00435405"/>
    <w:rsid w:val="00441807"/>
    <w:rsid w:val="0044750F"/>
    <w:rsid w:val="00456E0D"/>
    <w:rsid w:val="004627F2"/>
    <w:rsid w:val="0046401E"/>
    <w:rsid w:val="00464520"/>
    <w:rsid w:val="004750AF"/>
    <w:rsid w:val="00477BAC"/>
    <w:rsid w:val="00483E9F"/>
    <w:rsid w:val="00484686"/>
    <w:rsid w:val="00485852"/>
    <w:rsid w:val="0049644E"/>
    <w:rsid w:val="00496ECB"/>
    <w:rsid w:val="00497DEB"/>
    <w:rsid w:val="004A7E9B"/>
    <w:rsid w:val="004B483F"/>
    <w:rsid w:val="004C52CD"/>
    <w:rsid w:val="004C7B5F"/>
    <w:rsid w:val="004D1AD5"/>
    <w:rsid w:val="004D614C"/>
    <w:rsid w:val="004E4016"/>
    <w:rsid w:val="004E49C1"/>
    <w:rsid w:val="004E5CB7"/>
    <w:rsid w:val="004E618B"/>
    <w:rsid w:val="004F4EAA"/>
    <w:rsid w:val="004F6B26"/>
    <w:rsid w:val="00503E18"/>
    <w:rsid w:val="005135D6"/>
    <w:rsid w:val="00515D5F"/>
    <w:rsid w:val="00520AAE"/>
    <w:rsid w:val="00541115"/>
    <w:rsid w:val="0054343E"/>
    <w:rsid w:val="00546F7A"/>
    <w:rsid w:val="0056458E"/>
    <w:rsid w:val="0057503C"/>
    <w:rsid w:val="005850F1"/>
    <w:rsid w:val="00585411"/>
    <w:rsid w:val="0059432F"/>
    <w:rsid w:val="005A2CC1"/>
    <w:rsid w:val="005B0648"/>
    <w:rsid w:val="005B4B4D"/>
    <w:rsid w:val="005B5F86"/>
    <w:rsid w:val="005C20C6"/>
    <w:rsid w:val="005C3B12"/>
    <w:rsid w:val="005D662C"/>
    <w:rsid w:val="005D7115"/>
    <w:rsid w:val="005E0125"/>
    <w:rsid w:val="005F20E2"/>
    <w:rsid w:val="005F47DC"/>
    <w:rsid w:val="005F4F12"/>
    <w:rsid w:val="006058DE"/>
    <w:rsid w:val="00617AFE"/>
    <w:rsid w:val="00622E08"/>
    <w:rsid w:val="006323D2"/>
    <w:rsid w:val="006460F0"/>
    <w:rsid w:val="00647566"/>
    <w:rsid w:val="0065663F"/>
    <w:rsid w:val="006617A1"/>
    <w:rsid w:val="00666714"/>
    <w:rsid w:val="006706E4"/>
    <w:rsid w:val="006717FC"/>
    <w:rsid w:val="0067279B"/>
    <w:rsid w:val="00674549"/>
    <w:rsid w:val="006803F6"/>
    <w:rsid w:val="00681A32"/>
    <w:rsid w:val="00682821"/>
    <w:rsid w:val="00690955"/>
    <w:rsid w:val="00695A0D"/>
    <w:rsid w:val="00696C40"/>
    <w:rsid w:val="006A0362"/>
    <w:rsid w:val="006A4A7C"/>
    <w:rsid w:val="006B3BE0"/>
    <w:rsid w:val="006B6465"/>
    <w:rsid w:val="006C1D11"/>
    <w:rsid w:val="006D2289"/>
    <w:rsid w:val="006E6014"/>
    <w:rsid w:val="006F0134"/>
    <w:rsid w:val="006F6E84"/>
    <w:rsid w:val="0070466A"/>
    <w:rsid w:val="007050CA"/>
    <w:rsid w:val="007169FE"/>
    <w:rsid w:val="007226C1"/>
    <w:rsid w:val="00742D43"/>
    <w:rsid w:val="00743A15"/>
    <w:rsid w:val="00754B47"/>
    <w:rsid w:val="007570C7"/>
    <w:rsid w:val="007620F2"/>
    <w:rsid w:val="007657FE"/>
    <w:rsid w:val="00770219"/>
    <w:rsid w:val="007718BC"/>
    <w:rsid w:val="00771BF8"/>
    <w:rsid w:val="00780601"/>
    <w:rsid w:val="00797B53"/>
    <w:rsid w:val="007A0775"/>
    <w:rsid w:val="007A11B8"/>
    <w:rsid w:val="007C311E"/>
    <w:rsid w:val="007C46AB"/>
    <w:rsid w:val="007C6155"/>
    <w:rsid w:val="007C66A1"/>
    <w:rsid w:val="007D50E4"/>
    <w:rsid w:val="007E3E9A"/>
    <w:rsid w:val="007E7D9B"/>
    <w:rsid w:val="007F1A4C"/>
    <w:rsid w:val="00800101"/>
    <w:rsid w:val="008022BB"/>
    <w:rsid w:val="00803EFF"/>
    <w:rsid w:val="00815B17"/>
    <w:rsid w:val="00827D63"/>
    <w:rsid w:val="008313A5"/>
    <w:rsid w:val="00834507"/>
    <w:rsid w:val="00860D08"/>
    <w:rsid w:val="00865592"/>
    <w:rsid w:val="00870AD3"/>
    <w:rsid w:val="00874959"/>
    <w:rsid w:val="00890321"/>
    <w:rsid w:val="008C404F"/>
    <w:rsid w:val="008C49D2"/>
    <w:rsid w:val="008C4ED0"/>
    <w:rsid w:val="008D0444"/>
    <w:rsid w:val="008D1DA4"/>
    <w:rsid w:val="008D22C7"/>
    <w:rsid w:val="008E1446"/>
    <w:rsid w:val="008F4FB1"/>
    <w:rsid w:val="009006F0"/>
    <w:rsid w:val="0090189E"/>
    <w:rsid w:val="00905A44"/>
    <w:rsid w:val="00911F1F"/>
    <w:rsid w:val="00916B35"/>
    <w:rsid w:val="009279B1"/>
    <w:rsid w:val="009328FC"/>
    <w:rsid w:val="009405BA"/>
    <w:rsid w:val="00946363"/>
    <w:rsid w:val="009634AF"/>
    <w:rsid w:val="00970687"/>
    <w:rsid w:val="009712EE"/>
    <w:rsid w:val="00972E66"/>
    <w:rsid w:val="00973BB4"/>
    <w:rsid w:val="00977176"/>
    <w:rsid w:val="00990C50"/>
    <w:rsid w:val="00992210"/>
    <w:rsid w:val="00993B57"/>
    <w:rsid w:val="00995AA2"/>
    <w:rsid w:val="00997C0E"/>
    <w:rsid w:val="009B2A8B"/>
    <w:rsid w:val="009B39A2"/>
    <w:rsid w:val="009C3FCB"/>
    <w:rsid w:val="009C7152"/>
    <w:rsid w:val="009D2B17"/>
    <w:rsid w:val="009D5863"/>
    <w:rsid w:val="009D5F51"/>
    <w:rsid w:val="009E2A95"/>
    <w:rsid w:val="009F11C3"/>
    <w:rsid w:val="009F7AA3"/>
    <w:rsid w:val="00A0389C"/>
    <w:rsid w:val="00A04605"/>
    <w:rsid w:val="00A17C8E"/>
    <w:rsid w:val="00A21DE4"/>
    <w:rsid w:val="00A237E8"/>
    <w:rsid w:val="00A23F6C"/>
    <w:rsid w:val="00A3035A"/>
    <w:rsid w:val="00A3557C"/>
    <w:rsid w:val="00A43BD1"/>
    <w:rsid w:val="00A51AA0"/>
    <w:rsid w:val="00A52F5E"/>
    <w:rsid w:val="00A630B2"/>
    <w:rsid w:val="00A64CF1"/>
    <w:rsid w:val="00A65035"/>
    <w:rsid w:val="00A6590C"/>
    <w:rsid w:val="00A66ADB"/>
    <w:rsid w:val="00A67DE8"/>
    <w:rsid w:val="00A84A24"/>
    <w:rsid w:val="00A8560D"/>
    <w:rsid w:val="00A877B6"/>
    <w:rsid w:val="00A94D40"/>
    <w:rsid w:val="00A96B8B"/>
    <w:rsid w:val="00AA6A1A"/>
    <w:rsid w:val="00AA76FE"/>
    <w:rsid w:val="00AB2230"/>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3BA5"/>
    <w:rsid w:val="00B55E97"/>
    <w:rsid w:val="00B601BA"/>
    <w:rsid w:val="00B670E3"/>
    <w:rsid w:val="00B70C07"/>
    <w:rsid w:val="00B7465E"/>
    <w:rsid w:val="00B747E5"/>
    <w:rsid w:val="00B80469"/>
    <w:rsid w:val="00B8704D"/>
    <w:rsid w:val="00B87E74"/>
    <w:rsid w:val="00BB09E9"/>
    <w:rsid w:val="00BB40CD"/>
    <w:rsid w:val="00BD198F"/>
    <w:rsid w:val="00BD2C88"/>
    <w:rsid w:val="00BD3C62"/>
    <w:rsid w:val="00BD789C"/>
    <w:rsid w:val="00BE7132"/>
    <w:rsid w:val="00BF11E6"/>
    <w:rsid w:val="00BF229A"/>
    <w:rsid w:val="00BF3F52"/>
    <w:rsid w:val="00C01D16"/>
    <w:rsid w:val="00C107C7"/>
    <w:rsid w:val="00C12523"/>
    <w:rsid w:val="00C24C67"/>
    <w:rsid w:val="00C317B1"/>
    <w:rsid w:val="00C31C67"/>
    <w:rsid w:val="00C511C8"/>
    <w:rsid w:val="00C52A09"/>
    <w:rsid w:val="00C559B8"/>
    <w:rsid w:val="00C66A53"/>
    <w:rsid w:val="00C706B1"/>
    <w:rsid w:val="00C72097"/>
    <w:rsid w:val="00C821E0"/>
    <w:rsid w:val="00C8721D"/>
    <w:rsid w:val="00C92CEB"/>
    <w:rsid w:val="00CB5595"/>
    <w:rsid w:val="00CC0CB5"/>
    <w:rsid w:val="00CC3A1E"/>
    <w:rsid w:val="00CD3A94"/>
    <w:rsid w:val="00CD52A2"/>
    <w:rsid w:val="00CE0111"/>
    <w:rsid w:val="00CE0255"/>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51A5C"/>
    <w:rsid w:val="00D63C80"/>
    <w:rsid w:val="00D63CC2"/>
    <w:rsid w:val="00D65A56"/>
    <w:rsid w:val="00D71EAF"/>
    <w:rsid w:val="00D7649D"/>
    <w:rsid w:val="00D77992"/>
    <w:rsid w:val="00D82C67"/>
    <w:rsid w:val="00D93479"/>
    <w:rsid w:val="00D93849"/>
    <w:rsid w:val="00D943BB"/>
    <w:rsid w:val="00D94AF1"/>
    <w:rsid w:val="00D96089"/>
    <w:rsid w:val="00DA1C90"/>
    <w:rsid w:val="00DA46E1"/>
    <w:rsid w:val="00DB0441"/>
    <w:rsid w:val="00DB20CE"/>
    <w:rsid w:val="00DB4CD3"/>
    <w:rsid w:val="00DD4F9F"/>
    <w:rsid w:val="00DE490D"/>
    <w:rsid w:val="00DF535D"/>
    <w:rsid w:val="00E01B85"/>
    <w:rsid w:val="00E0226E"/>
    <w:rsid w:val="00E06225"/>
    <w:rsid w:val="00E1164B"/>
    <w:rsid w:val="00E14B73"/>
    <w:rsid w:val="00E23B49"/>
    <w:rsid w:val="00E2498E"/>
    <w:rsid w:val="00E31124"/>
    <w:rsid w:val="00E3114E"/>
    <w:rsid w:val="00E4051A"/>
    <w:rsid w:val="00E409BE"/>
    <w:rsid w:val="00E4358A"/>
    <w:rsid w:val="00E508DF"/>
    <w:rsid w:val="00E54BCC"/>
    <w:rsid w:val="00E64309"/>
    <w:rsid w:val="00E70F05"/>
    <w:rsid w:val="00E75326"/>
    <w:rsid w:val="00E91316"/>
    <w:rsid w:val="00E91342"/>
    <w:rsid w:val="00EA2CE2"/>
    <w:rsid w:val="00EB26EF"/>
    <w:rsid w:val="00EB3237"/>
    <w:rsid w:val="00EB5E7D"/>
    <w:rsid w:val="00EB7641"/>
    <w:rsid w:val="00EB772E"/>
    <w:rsid w:val="00ED39A2"/>
    <w:rsid w:val="00EE5E38"/>
    <w:rsid w:val="00F04D09"/>
    <w:rsid w:val="00F04FE2"/>
    <w:rsid w:val="00F11B03"/>
    <w:rsid w:val="00F125C3"/>
    <w:rsid w:val="00F15EB4"/>
    <w:rsid w:val="00F20858"/>
    <w:rsid w:val="00F25584"/>
    <w:rsid w:val="00F35ADB"/>
    <w:rsid w:val="00F366E0"/>
    <w:rsid w:val="00F3681B"/>
    <w:rsid w:val="00F52690"/>
    <w:rsid w:val="00F53E7E"/>
    <w:rsid w:val="00F55E72"/>
    <w:rsid w:val="00F57C89"/>
    <w:rsid w:val="00F640D7"/>
    <w:rsid w:val="00F656A1"/>
    <w:rsid w:val="00F77EE1"/>
    <w:rsid w:val="00F929C5"/>
    <w:rsid w:val="00FB03FB"/>
    <w:rsid w:val="00FB1C1B"/>
    <w:rsid w:val="00FB291F"/>
    <w:rsid w:val="00FB3A67"/>
    <w:rsid w:val="00FD5E74"/>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semiHidden/>
    <w:unhideWhenUsed/>
    <w:rsid w:val="007226C1"/>
    <w:pPr>
      <w:spacing w:after="120"/>
      <w:ind w:left="283"/>
    </w:pPr>
  </w:style>
  <w:style w:type="character" w:customStyle="1" w:styleId="BodyTextIndentChar">
    <w:name w:val="Body Text Indent Char"/>
    <w:basedOn w:val="DefaultParagraphFont"/>
    <w:link w:val="BodyTextIndent"/>
    <w:uiPriority w:val="99"/>
    <w:semiHidden/>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11447</Words>
  <Characters>6526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3</cp:revision>
  <cp:lastPrinted>2019-04-01T10:10:00Z</cp:lastPrinted>
  <dcterms:created xsi:type="dcterms:W3CDTF">2019-04-10T08:58:00Z</dcterms:created>
  <dcterms:modified xsi:type="dcterms:W3CDTF">2019-04-10T09:05:00Z</dcterms:modified>
</cp:coreProperties>
</file>