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5D00F" w14:textId="6BDFCEED" w:rsidR="00E91342" w:rsidRDefault="009E2A95" w:rsidP="009E2A95">
      <w:pPr>
        <w:jc w:val="center"/>
        <w:rPr>
          <w:lang w:val="lv-LV"/>
        </w:rPr>
      </w:pPr>
      <w:r>
        <w:rPr>
          <w:lang w:val="lv-LV"/>
        </w:rPr>
        <w:t>Iepirkumu procedūra</w:t>
      </w:r>
    </w:p>
    <w:p w14:paraId="2CBF7153" w14:textId="37935149" w:rsidR="009E2A95" w:rsidRPr="009E2A95" w:rsidRDefault="009E2A95" w:rsidP="009E2A95">
      <w:pPr>
        <w:jc w:val="center"/>
        <w:rPr>
          <w:b/>
          <w:lang w:val="lv-LV"/>
        </w:rPr>
      </w:pPr>
      <w:bookmarkStart w:id="0" w:name="_Hlk3294787"/>
      <w:r w:rsidRPr="009E2A95">
        <w:rPr>
          <w:b/>
          <w:lang w:val="lv-LV"/>
        </w:rPr>
        <w:t xml:space="preserve">“Būvdarbu veikšana Eiropas Savienības Kohēzijas fonda projekta “Ūdensapgādes un kanalizācijas sistēmas attīstība </w:t>
      </w:r>
      <w:proofErr w:type="spellStart"/>
      <w:r w:rsidRPr="009E2A95">
        <w:rPr>
          <w:b/>
          <w:lang w:val="lv-LV"/>
        </w:rPr>
        <w:t>Judovkas</w:t>
      </w:r>
      <w:proofErr w:type="spellEnd"/>
      <w:r w:rsidRPr="009E2A95">
        <w:rPr>
          <w:b/>
          <w:lang w:val="lv-LV"/>
        </w:rPr>
        <w:t xml:space="preserve"> rajonā, Daugavpilī” ietvaros (SAM 5.3.1.)”</w:t>
      </w:r>
    </w:p>
    <w:bookmarkEnd w:id="0"/>
    <w:p w14:paraId="4AE07E9B" w14:textId="77777777" w:rsidR="009E2A95" w:rsidRDefault="009E2A95" w:rsidP="009E2A95">
      <w:pPr>
        <w:spacing w:after="160" w:line="259" w:lineRule="auto"/>
        <w:jc w:val="center"/>
        <w:rPr>
          <w:bCs/>
          <w:iCs/>
        </w:rPr>
      </w:pPr>
      <w:proofErr w:type="spellStart"/>
      <w:r w:rsidRPr="0046401B">
        <w:rPr>
          <w:bCs/>
          <w:iCs/>
        </w:rPr>
        <w:t>identifikācijas</w:t>
      </w:r>
      <w:proofErr w:type="spellEnd"/>
      <w:r w:rsidRPr="0046401B">
        <w:rPr>
          <w:bCs/>
          <w:iCs/>
        </w:rPr>
        <w:t xml:space="preserve"> Nr. DŪ-2019/3</w:t>
      </w:r>
    </w:p>
    <w:p w14:paraId="1A1DBC86" w14:textId="283272A5" w:rsidR="00AF703D" w:rsidRPr="0081186C" w:rsidRDefault="009D5F51" w:rsidP="009E2A95">
      <w:pPr>
        <w:spacing w:after="160" w:line="259" w:lineRule="auto"/>
        <w:rPr>
          <w:rFonts w:eastAsia="Calibri"/>
          <w:bCs/>
          <w:iCs/>
          <w:szCs w:val="28"/>
          <w:lang w:val="lv-LV"/>
        </w:rPr>
      </w:pPr>
      <w:r>
        <w:rPr>
          <w:rFonts w:eastAsia="Calibri"/>
          <w:bCs/>
          <w:iCs/>
          <w:szCs w:val="28"/>
          <w:lang w:val="lv-LV"/>
        </w:rPr>
        <w:t>Daugavpilī, 201</w:t>
      </w:r>
      <w:r w:rsidR="00A04605">
        <w:rPr>
          <w:rFonts w:eastAsia="Calibri"/>
          <w:bCs/>
          <w:iCs/>
          <w:szCs w:val="28"/>
          <w:lang w:val="lv-LV"/>
        </w:rPr>
        <w:t>9</w:t>
      </w:r>
      <w:r>
        <w:rPr>
          <w:rFonts w:eastAsia="Calibri"/>
          <w:bCs/>
          <w:iCs/>
          <w:szCs w:val="28"/>
          <w:lang w:val="lv-LV"/>
        </w:rPr>
        <w:t xml:space="preserve">.gada </w:t>
      </w:r>
      <w:r w:rsidR="007718BC" w:rsidRPr="0081186C">
        <w:rPr>
          <w:rFonts w:eastAsia="Calibri"/>
          <w:bCs/>
          <w:iCs/>
          <w:szCs w:val="28"/>
          <w:lang w:val="lv-LV"/>
        </w:rPr>
        <w:t>0</w:t>
      </w:r>
      <w:r w:rsidR="0081186C" w:rsidRPr="0081186C">
        <w:rPr>
          <w:rFonts w:eastAsia="Calibri"/>
          <w:bCs/>
          <w:iCs/>
          <w:szCs w:val="28"/>
          <w:lang w:val="lv-LV"/>
        </w:rPr>
        <w:t>5</w:t>
      </w:r>
      <w:r w:rsidR="00A04605" w:rsidRPr="0081186C">
        <w:rPr>
          <w:rFonts w:eastAsia="Calibri"/>
          <w:bCs/>
          <w:iCs/>
          <w:szCs w:val="28"/>
          <w:lang w:val="lv-LV"/>
        </w:rPr>
        <w:t>.</w:t>
      </w:r>
      <w:r w:rsidR="005C3B12" w:rsidRPr="0081186C">
        <w:rPr>
          <w:rFonts w:eastAsia="Calibri"/>
          <w:bCs/>
          <w:iCs/>
          <w:szCs w:val="28"/>
          <w:lang w:val="lv-LV"/>
        </w:rPr>
        <w:t xml:space="preserve"> </w:t>
      </w:r>
      <w:r w:rsidR="007718BC" w:rsidRPr="0081186C">
        <w:rPr>
          <w:rFonts w:eastAsia="Calibri"/>
          <w:bCs/>
          <w:iCs/>
          <w:szCs w:val="28"/>
          <w:lang w:val="lv-LV"/>
        </w:rPr>
        <w:t>aprīlī</w:t>
      </w:r>
    </w:p>
    <w:p w14:paraId="0DC18958" w14:textId="086EB4D6" w:rsidR="00E91342" w:rsidRPr="00AF703D" w:rsidRDefault="009D5F51" w:rsidP="00E4051A">
      <w:pPr>
        <w:pStyle w:val="Standard"/>
        <w:ind w:right="4618"/>
        <w:rPr>
          <w:b/>
          <w:lang w:val="lv-LV"/>
        </w:rPr>
      </w:pPr>
      <w:r>
        <w:rPr>
          <w:b/>
          <w:lang w:val="lv-LV"/>
        </w:rPr>
        <w:t>Papildus informācija Nr.</w:t>
      </w:r>
      <w:r w:rsidR="00262693">
        <w:rPr>
          <w:b/>
          <w:lang w:val="lv-LV"/>
        </w:rPr>
        <w:t>3</w:t>
      </w:r>
      <w:r w:rsidR="00E91342" w:rsidRPr="00AF703D">
        <w:rPr>
          <w:b/>
          <w:lang w:val="lv-LV"/>
        </w:rPr>
        <w:tab/>
      </w:r>
    </w:p>
    <w:p w14:paraId="54BEA719" w14:textId="77777777" w:rsidR="002A5CCD" w:rsidRPr="002A5CCD" w:rsidRDefault="002A5CCD" w:rsidP="002A5CCD">
      <w:pPr>
        <w:pStyle w:val="Standard"/>
        <w:rPr>
          <w:noProof/>
          <w:lang w:val="lv-LV" w:eastAsia="lv-LV"/>
        </w:rPr>
      </w:pPr>
    </w:p>
    <w:p w14:paraId="311D486B" w14:textId="6AC28D10" w:rsidR="00E91342" w:rsidRDefault="002A5CCD" w:rsidP="00AF703D">
      <w:pPr>
        <w:jc w:val="both"/>
        <w:rPr>
          <w:lang w:val="lv-LV" w:eastAsia="lv-LV"/>
        </w:rPr>
      </w:pPr>
      <w:r w:rsidRPr="002A5CCD">
        <w:rPr>
          <w:noProof/>
          <w:lang w:val="lv-LV" w:eastAsia="lv-LV"/>
        </w:rPr>
        <w:tab/>
      </w:r>
      <w:r w:rsidR="00AF703D" w:rsidRPr="00AF703D">
        <w:rPr>
          <w:lang w:val="lv-LV" w:eastAsia="lv-LV"/>
        </w:rPr>
        <w:t>Iepirkumu komisij</w:t>
      </w:r>
      <w:r w:rsidR="00B31AA2">
        <w:rPr>
          <w:lang w:val="lv-LV" w:eastAsia="lv-LV"/>
        </w:rPr>
        <w:t>a sniedz atbild</w:t>
      </w:r>
      <w:r w:rsidR="007C492D">
        <w:rPr>
          <w:lang w:val="lv-LV" w:eastAsia="lv-LV"/>
        </w:rPr>
        <w:t>es</w:t>
      </w:r>
      <w:r w:rsidR="00B31AA2">
        <w:rPr>
          <w:lang w:val="lv-LV" w:eastAsia="lv-LV"/>
        </w:rPr>
        <w:t xml:space="preserve"> uz ieinteresētā piegādātāja iesniegt</w:t>
      </w:r>
      <w:r w:rsidR="007C492D">
        <w:rPr>
          <w:lang w:val="lv-LV" w:eastAsia="lv-LV"/>
        </w:rPr>
        <w:t>ajiem</w:t>
      </w:r>
      <w:r w:rsidR="00B31AA2">
        <w:rPr>
          <w:lang w:val="lv-LV" w:eastAsia="lv-LV"/>
        </w:rPr>
        <w:t xml:space="preserve"> jautājum</w:t>
      </w:r>
      <w:r w:rsidR="007C492D">
        <w:rPr>
          <w:lang w:val="lv-LV" w:eastAsia="lv-LV"/>
        </w:rPr>
        <w:t>iem</w:t>
      </w:r>
      <w:r w:rsidR="00AF703D" w:rsidRPr="00AF703D">
        <w:rPr>
          <w:lang w:val="lv-LV" w:eastAsia="lv-LV"/>
        </w:rPr>
        <w:t xml:space="preserve"> iepirkuma procedūras </w:t>
      </w:r>
      <w:bookmarkStart w:id="1" w:name="_Hlk3282082"/>
      <w:r w:rsidR="00A04605" w:rsidRPr="009E2A95">
        <w:rPr>
          <w:bCs/>
          <w:i/>
          <w:szCs w:val="28"/>
          <w:lang w:val="lv-LV"/>
        </w:rPr>
        <w:t>“</w:t>
      </w:r>
      <w:r w:rsidR="009E2A95" w:rsidRPr="009E2A95">
        <w:rPr>
          <w:bCs/>
          <w:i/>
          <w:szCs w:val="28"/>
          <w:lang w:val="lv-LV"/>
        </w:rPr>
        <w:t xml:space="preserve">Būvdarbu veikšana Eiropas Savienības Kohēzijas fonda projekta “Ūdensapgādes un kanalizācijas sistēmas attīstība </w:t>
      </w:r>
      <w:proofErr w:type="spellStart"/>
      <w:r w:rsidR="009E2A95" w:rsidRPr="009E2A95">
        <w:rPr>
          <w:bCs/>
          <w:i/>
          <w:szCs w:val="28"/>
          <w:lang w:val="lv-LV"/>
        </w:rPr>
        <w:t>Judovkas</w:t>
      </w:r>
      <w:proofErr w:type="spellEnd"/>
      <w:r w:rsidR="009E2A95" w:rsidRPr="009E2A95">
        <w:rPr>
          <w:bCs/>
          <w:i/>
          <w:szCs w:val="28"/>
          <w:lang w:val="lv-LV"/>
        </w:rPr>
        <w:t xml:space="preserve"> rajonā, Daugavpilī” ietvaros (SAM 5.3.1.)”</w:t>
      </w:r>
      <w:r w:rsidR="00A04605" w:rsidRPr="00A04605">
        <w:rPr>
          <w:lang w:val="lv-LV"/>
        </w:rPr>
        <w:t xml:space="preserve"> (identifikācijas Nr.DŪ-2019/</w:t>
      </w:r>
      <w:r w:rsidR="009E2A95">
        <w:rPr>
          <w:lang w:val="lv-LV"/>
        </w:rPr>
        <w:t>3</w:t>
      </w:r>
      <w:r w:rsidR="00A04605" w:rsidRPr="00A04605">
        <w:rPr>
          <w:lang w:val="lv-LV"/>
        </w:rPr>
        <w:t>)</w:t>
      </w:r>
      <w:bookmarkEnd w:id="1"/>
      <w:r w:rsidR="00A04605">
        <w:rPr>
          <w:lang w:val="lv-LV"/>
        </w:rPr>
        <w:t xml:space="preserve"> ietvaros</w:t>
      </w:r>
      <w:r w:rsidR="00AF703D" w:rsidRPr="00AF703D">
        <w:rPr>
          <w:lang w:val="lv-LV" w:eastAsia="lv-LV"/>
        </w:rPr>
        <w:t>:</w:t>
      </w:r>
    </w:p>
    <w:p w14:paraId="314540B6" w14:textId="48F03E72" w:rsidR="00A04605" w:rsidRDefault="00A04605" w:rsidP="00A04605">
      <w:pPr>
        <w:jc w:val="both"/>
        <w:rPr>
          <w:lang w:val="lv-LV"/>
        </w:rPr>
      </w:pPr>
    </w:p>
    <w:tbl>
      <w:tblPr>
        <w:tblStyle w:val="TableGrid"/>
        <w:tblW w:w="0" w:type="auto"/>
        <w:tblLook w:val="04A0" w:firstRow="1" w:lastRow="0" w:firstColumn="1" w:lastColumn="0" w:noHBand="0" w:noVBand="1"/>
      </w:tblPr>
      <w:tblGrid>
        <w:gridCol w:w="8346"/>
        <w:gridCol w:w="4789"/>
      </w:tblGrid>
      <w:tr w:rsidR="00D3579E" w:rsidRPr="00E00EA5" w14:paraId="73ED5A25" w14:textId="77777777" w:rsidTr="00DC4D5A">
        <w:tc>
          <w:tcPr>
            <w:tcW w:w="7933" w:type="dxa"/>
          </w:tcPr>
          <w:p w14:paraId="7B1595CE" w14:textId="77777777" w:rsidR="00D3579E" w:rsidRPr="00D3579E" w:rsidRDefault="00D3579E" w:rsidP="00D3579E">
            <w:pPr>
              <w:spacing w:after="200" w:line="276" w:lineRule="auto"/>
              <w:contextualSpacing/>
              <w:jc w:val="both"/>
              <w:rPr>
                <w:rFonts w:eastAsia="Calibri"/>
                <w:sz w:val="22"/>
                <w:szCs w:val="22"/>
                <w:lang w:val="lv-LV"/>
              </w:rPr>
            </w:pPr>
            <w:r w:rsidRPr="00D3579E">
              <w:rPr>
                <w:rFonts w:eastAsia="Calibri"/>
                <w:sz w:val="22"/>
                <w:szCs w:val="22"/>
                <w:lang w:val="lv-LV"/>
              </w:rPr>
              <w:t xml:space="preserve">Nolikuma 6.2.punktā pasūtītājs norāda, ka </w:t>
            </w:r>
            <w:r w:rsidRPr="00D3579E">
              <w:rPr>
                <w:rFonts w:eastAsia="Calibri"/>
                <w:i/>
                <w:sz w:val="22"/>
                <w:szCs w:val="22"/>
                <w:lang w:val="lv-LV"/>
              </w:rPr>
              <w:t xml:space="preserve">Tehnoloģiskais pārtraukums ir gadījumā, kad konkrētu būvdarbu izpildi tieši ietekmē nelabvēlīgi klimatiskie apstākļi, vai citi no Pasūtītāja </w:t>
            </w:r>
            <w:r w:rsidRPr="005141C7">
              <w:rPr>
                <w:rFonts w:eastAsia="Calibri"/>
                <w:i/>
                <w:sz w:val="22"/>
                <w:szCs w:val="22"/>
                <w:lang w:val="lv-LV"/>
              </w:rPr>
              <w:t>un</w:t>
            </w:r>
            <w:r w:rsidRPr="00D3579E">
              <w:rPr>
                <w:rFonts w:eastAsia="Calibri"/>
                <w:i/>
                <w:sz w:val="22"/>
                <w:szCs w:val="22"/>
                <w:lang w:val="lv-LV"/>
              </w:rPr>
              <w:t xml:space="preserve"> Būvdarbu veicēja neatkarīgi apstākļi</w:t>
            </w:r>
            <w:r w:rsidRPr="00D3579E">
              <w:rPr>
                <w:rFonts w:eastAsia="Calibri"/>
                <w:sz w:val="22"/>
                <w:szCs w:val="22"/>
                <w:lang w:val="lv-LV"/>
              </w:rPr>
              <w:t>.  No prasības formulējuma jāsecina, ka šādi tehnoloģiskā pārtraukuma apstākļi var tikt ņemti vērā tikai pie obligāta nosacījuma, ja abas līguma puses kopā un vienlaicīgi nav radījušas šādus apstākļus. Pasūtītājs izvirzītais nosacījums ir nesamērīgs un nepamatots. Pasūtītājs nav tiesīgs uzlikt Būvdarbu veicējam atbildību par apstākli, kura iestāšanās ir bijusi paša pasūtītāja ietekmē vai varā. Piemēram, gadījumā, ja pasūtītāja būvprojektam nepieciešamas izmaiņas, tad tas ir pasūtītāja pienākums ieplānot laiku un izmaksas šādu izmaiņu veikšanai un apstiprināšanai. Būvdarbu veicējs attiecīgi šajā laikā nevarēs veikt būvdarbus un būs nepieciešams tehnoloģiskais pārtraukums. Pasūtītāja nolikuma 6.2.punktā izvirzītā prasība diskriminē Būvdarbu veicēja tiesības uz tehnoloģisko pārtraukumu pasūtītāja būvprojekta izmaiņu gadījumā. Lūdzam veikt izmaiņas nolikuma 6.2.punktā, uzskaitot apstākļus, kuru rezultātā Būvuzņēmējam ir tiesības uz Tehnoloģisko pārtraukumu.</w:t>
            </w:r>
          </w:p>
        </w:tc>
        <w:tc>
          <w:tcPr>
            <w:tcW w:w="4789" w:type="dxa"/>
          </w:tcPr>
          <w:p w14:paraId="062101B1" w14:textId="77777777" w:rsidR="00D3579E" w:rsidRPr="00D3579E" w:rsidRDefault="00D3579E" w:rsidP="00D3579E">
            <w:pPr>
              <w:jc w:val="both"/>
              <w:rPr>
                <w:rFonts w:eastAsia="Calibri"/>
                <w:sz w:val="22"/>
                <w:szCs w:val="22"/>
                <w:lang w:val="lv-LV"/>
              </w:rPr>
            </w:pPr>
            <w:r w:rsidRPr="00D3579E">
              <w:rPr>
                <w:rFonts w:eastAsia="Calibri"/>
                <w:sz w:val="22"/>
                <w:szCs w:val="22"/>
                <w:lang w:val="lv-LV"/>
              </w:rPr>
              <w:t>Tehnoloģiskais pārtraukums ir no Pasūtītāja un Būvdarbu veicēja neatkarīgi apstākļi.</w:t>
            </w:r>
          </w:p>
          <w:p w14:paraId="3B4A8E89" w14:textId="77777777" w:rsidR="00D3579E" w:rsidRPr="00D3579E" w:rsidRDefault="00D3579E" w:rsidP="00D3579E">
            <w:pPr>
              <w:jc w:val="both"/>
              <w:rPr>
                <w:rFonts w:eastAsia="Calibri"/>
                <w:sz w:val="22"/>
                <w:szCs w:val="22"/>
                <w:lang w:val="lv-LV"/>
              </w:rPr>
            </w:pPr>
            <w:r w:rsidRPr="00D3579E">
              <w:rPr>
                <w:rFonts w:eastAsia="Calibri"/>
                <w:sz w:val="22"/>
                <w:szCs w:val="22"/>
                <w:lang w:val="lv-LV"/>
              </w:rPr>
              <w:t>Būvdarbu laikā nepieciešamas izmaiņas, labojumi vai grozījumi tiks veikti saskaņā ar FIDIC būvniecības darbu līguma noteikumiem.</w:t>
            </w:r>
          </w:p>
          <w:p w14:paraId="364AF031" w14:textId="77777777" w:rsidR="00D3579E" w:rsidRPr="00D3579E" w:rsidRDefault="00D3579E" w:rsidP="00D3579E">
            <w:pPr>
              <w:jc w:val="both"/>
              <w:rPr>
                <w:rFonts w:eastAsia="Calibri"/>
                <w:sz w:val="22"/>
                <w:szCs w:val="22"/>
                <w:lang w:val="lv-LV"/>
              </w:rPr>
            </w:pPr>
          </w:p>
        </w:tc>
      </w:tr>
      <w:tr w:rsidR="00D3579E" w:rsidRPr="00E00EA5" w14:paraId="4BF29B27" w14:textId="77777777" w:rsidTr="00DC4D5A">
        <w:tc>
          <w:tcPr>
            <w:tcW w:w="7933" w:type="dxa"/>
          </w:tcPr>
          <w:p w14:paraId="73A82F2E" w14:textId="77777777" w:rsidR="00D3579E" w:rsidRPr="00D3579E" w:rsidRDefault="00D3579E" w:rsidP="00D3579E">
            <w:pPr>
              <w:jc w:val="both"/>
              <w:rPr>
                <w:rFonts w:eastAsia="Calibri"/>
                <w:sz w:val="22"/>
                <w:szCs w:val="22"/>
                <w:lang w:val="lv-LV"/>
              </w:rPr>
            </w:pPr>
            <w:r w:rsidRPr="00D3579E">
              <w:rPr>
                <w:rFonts w:eastAsia="Calibri"/>
                <w:sz w:val="22"/>
                <w:szCs w:val="22"/>
                <w:lang w:val="lv-LV"/>
              </w:rPr>
              <w:t xml:space="preserve">Nolikuma 11.6.punktā Pasūtītājam ir sniegtas plašas, nesamērīgas tiesības, bet pienākumu nav, nav ievērots paritātes princips. </w:t>
            </w:r>
          </w:p>
          <w:p w14:paraId="1626EDBA" w14:textId="77777777" w:rsidR="00D3579E" w:rsidRPr="00D3579E" w:rsidRDefault="00D3579E" w:rsidP="00D3579E">
            <w:pPr>
              <w:jc w:val="both"/>
              <w:rPr>
                <w:rFonts w:eastAsia="Calibri"/>
                <w:sz w:val="22"/>
                <w:szCs w:val="22"/>
                <w:lang w:val="lv-LV"/>
              </w:rPr>
            </w:pPr>
          </w:p>
          <w:p w14:paraId="6E7AAF57" w14:textId="77777777" w:rsidR="00D3579E" w:rsidRPr="00D3579E" w:rsidRDefault="00D3579E" w:rsidP="00D3579E">
            <w:pPr>
              <w:jc w:val="both"/>
              <w:rPr>
                <w:rFonts w:eastAsia="Calibri"/>
                <w:sz w:val="22"/>
                <w:szCs w:val="22"/>
                <w:lang w:val="lv-LV"/>
              </w:rPr>
            </w:pPr>
            <w:r w:rsidRPr="00D3579E">
              <w:rPr>
                <w:rFonts w:eastAsia="Calibri"/>
                <w:sz w:val="22"/>
                <w:szCs w:val="22"/>
                <w:lang w:val="lv-LV"/>
              </w:rPr>
              <w:t>Lūdzam veikt grozījumus tekstā:</w:t>
            </w:r>
          </w:p>
          <w:p w14:paraId="73A59457" w14:textId="77777777" w:rsidR="00D3579E" w:rsidRPr="00D3579E" w:rsidRDefault="00D3579E" w:rsidP="00D3579E">
            <w:pPr>
              <w:jc w:val="both"/>
              <w:rPr>
                <w:rFonts w:eastAsia="Calibri"/>
                <w:sz w:val="22"/>
                <w:szCs w:val="22"/>
                <w:lang w:val="lv-LV"/>
              </w:rPr>
            </w:pPr>
            <w:r w:rsidRPr="00D3579E">
              <w:rPr>
                <w:rFonts w:eastAsia="Calibri"/>
                <w:sz w:val="22"/>
                <w:szCs w:val="22"/>
                <w:lang w:val="lv-LV"/>
              </w:rPr>
              <w:t xml:space="preserve">Kredītiestāde vai apdrošināšanas sabiedrība neapņemsies garantēt līgumsaistību izpildi bez nosacījumiem un neatsaucami, kā tiek atrunāts punktā. Paziņojumam par līguma pārtraukšanu </w:t>
            </w:r>
            <w:r w:rsidRPr="00D3579E">
              <w:rPr>
                <w:rFonts w:eastAsia="Calibri"/>
                <w:sz w:val="22"/>
                <w:szCs w:val="22"/>
                <w:u w:val="single"/>
                <w:lang w:val="lv-LV"/>
              </w:rPr>
              <w:t>ir jābūt</w:t>
            </w:r>
            <w:r w:rsidRPr="00D3579E">
              <w:rPr>
                <w:rFonts w:eastAsia="Calibri"/>
                <w:sz w:val="22"/>
                <w:szCs w:val="22"/>
                <w:lang w:val="lv-LV"/>
              </w:rPr>
              <w:t xml:space="preserve"> iesniegtam.</w:t>
            </w:r>
          </w:p>
          <w:p w14:paraId="3238B1A3" w14:textId="77777777" w:rsidR="00D3579E" w:rsidRPr="00D3579E" w:rsidRDefault="00D3579E" w:rsidP="00D3579E">
            <w:pPr>
              <w:jc w:val="both"/>
              <w:rPr>
                <w:rFonts w:eastAsia="Calibri"/>
                <w:sz w:val="22"/>
                <w:szCs w:val="22"/>
                <w:lang w:val="lv-LV"/>
              </w:rPr>
            </w:pPr>
            <w:r w:rsidRPr="00D3579E">
              <w:rPr>
                <w:rFonts w:eastAsia="Calibri"/>
                <w:sz w:val="22"/>
                <w:szCs w:val="22"/>
                <w:lang w:val="lv-LV"/>
              </w:rPr>
              <w:t xml:space="preserve">Pasūtītājam </w:t>
            </w:r>
            <w:r w:rsidRPr="00D3579E">
              <w:rPr>
                <w:rFonts w:eastAsia="Calibri"/>
                <w:sz w:val="22"/>
                <w:szCs w:val="22"/>
                <w:u w:val="single"/>
                <w:lang w:val="lv-LV"/>
              </w:rPr>
              <w:t>jābūt</w:t>
            </w:r>
            <w:r w:rsidRPr="00D3579E">
              <w:rPr>
                <w:rFonts w:eastAsia="Calibri"/>
                <w:sz w:val="22"/>
                <w:szCs w:val="22"/>
                <w:lang w:val="lv-LV"/>
              </w:rPr>
              <w:t xml:space="preserve"> par pienākumu pierādīt vai pamatot savu prasību.</w:t>
            </w:r>
          </w:p>
          <w:p w14:paraId="44038093" w14:textId="77777777" w:rsidR="00D3579E" w:rsidRPr="00D3579E" w:rsidRDefault="00D3579E" w:rsidP="00D3579E">
            <w:pPr>
              <w:jc w:val="both"/>
              <w:rPr>
                <w:rFonts w:eastAsia="Calibri"/>
                <w:sz w:val="22"/>
                <w:szCs w:val="22"/>
                <w:lang w:val="lv-LV"/>
              </w:rPr>
            </w:pPr>
          </w:p>
        </w:tc>
        <w:tc>
          <w:tcPr>
            <w:tcW w:w="4789" w:type="dxa"/>
          </w:tcPr>
          <w:p w14:paraId="55685062" w14:textId="77777777" w:rsidR="00D3579E" w:rsidRPr="00D3579E" w:rsidRDefault="00D3579E" w:rsidP="00D3579E">
            <w:pPr>
              <w:jc w:val="both"/>
              <w:rPr>
                <w:rFonts w:eastAsia="Calibri"/>
                <w:sz w:val="22"/>
                <w:szCs w:val="22"/>
                <w:lang w:val="lv-LV"/>
              </w:rPr>
            </w:pPr>
            <w:r w:rsidRPr="00D3579E">
              <w:rPr>
                <w:rFonts w:eastAsia="Calibri"/>
                <w:sz w:val="22"/>
                <w:szCs w:val="22"/>
                <w:lang w:val="lv-LV"/>
              </w:rPr>
              <w:t>Saskaņā ar Nolikuma 11.6 punkta nosacījumiem, Pasūtītājs paziņos, ka Līguma Izpildītājs nepilda minētā Līguma saistības.</w:t>
            </w:r>
          </w:p>
          <w:p w14:paraId="1DE0964C" w14:textId="77777777" w:rsidR="00D3579E" w:rsidRPr="00D3579E" w:rsidRDefault="00D3579E" w:rsidP="00D3579E">
            <w:pPr>
              <w:jc w:val="both"/>
              <w:rPr>
                <w:rFonts w:eastAsia="Calibri"/>
                <w:sz w:val="22"/>
                <w:szCs w:val="22"/>
                <w:lang w:val="lv-LV"/>
              </w:rPr>
            </w:pPr>
          </w:p>
        </w:tc>
      </w:tr>
      <w:tr w:rsidR="00D3579E" w:rsidRPr="00E00EA5" w14:paraId="25BB4DCC" w14:textId="77777777" w:rsidTr="00DC4D5A">
        <w:tc>
          <w:tcPr>
            <w:tcW w:w="7933" w:type="dxa"/>
          </w:tcPr>
          <w:p w14:paraId="35371431" w14:textId="77777777" w:rsidR="00D3579E" w:rsidRPr="00D3579E" w:rsidRDefault="00D3579E" w:rsidP="00D3579E">
            <w:pPr>
              <w:jc w:val="both"/>
              <w:rPr>
                <w:rFonts w:eastAsia="Calibri"/>
                <w:sz w:val="22"/>
                <w:szCs w:val="22"/>
                <w:lang w:val="lv-LV"/>
              </w:rPr>
            </w:pPr>
            <w:r w:rsidRPr="00D3579E">
              <w:rPr>
                <w:rFonts w:eastAsia="Calibri"/>
                <w:sz w:val="22"/>
                <w:szCs w:val="22"/>
                <w:lang w:val="lv-LV"/>
              </w:rPr>
              <w:lastRenderedPageBreak/>
              <w:t>Nolikuma 19.2.punktā pasūtītājs norāda, ka gadījumā, ja vismaz divu piedāvājumu piedāvātā cena  ir vienāda, tad iepirkumu komisija “</w:t>
            </w:r>
            <w:r w:rsidRPr="00D3579E">
              <w:rPr>
                <w:rFonts w:eastAsia="Calibri"/>
                <w:i/>
                <w:sz w:val="22"/>
                <w:szCs w:val="22"/>
                <w:lang w:val="lv-LV"/>
              </w:rPr>
              <w:t>piemēro izšķirošo kritēriju saskaņā ar SPSIL</w:t>
            </w:r>
            <w:r w:rsidRPr="00D3579E">
              <w:rPr>
                <w:rFonts w:eastAsia="Calibri"/>
                <w:sz w:val="22"/>
                <w:szCs w:val="22"/>
                <w:lang w:val="lv-LV"/>
              </w:rPr>
              <w:t>”. Diemžēl pasūtītājs nenorāda konkrētu “izšķirošo kritēriju”. SPSIL 30.pants nosaka iepirkumu komisijas darbības pamatprincipus. Šī panta piektā daļa nosaka, ka “</w:t>
            </w:r>
            <w:r w:rsidRPr="00D3579E">
              <w:rPr>
                <w:rFonts w:eastAsia="Calibri"/>
                <w:i/>
                <w:sz w:val="22"/>
                <w:szCs w:val="22"/>
                <w:lang w:val="lv-LV"/>
              </w:rPr>
              <w:t>iepirkumu komisija pieņem lēmumus ar vienkāršu balsu vairākumu un (...) izšķirošā ir komisijas priekšsēdētāja balss</w:t>
            </w:r>
            <w:r w:rsidRPr="00D3579E">
              <w:rPr>
                <w:rFonts w:eastAsia="Calibri"/>
                <w:sz w:val="22"/>
                <w:szCs w:val="22"/>
                <w:lang w:val="lv-LV"/>
              </w:rPr>
              <w:t>”. Nav saprotams, vai pasūtītājs izmantos šo kritēriju un iepirkumu komisija balsos. Likuma 47.panta trešajā daļā noteikts, ka pasūtītājs izmanto “</w:t>
            </w:r>
            <w:r w:rsidRPr="00D3579E">
              <w:rPr>
                <w:rFonts w:eastAsia="Calibri"/>
                <w:i/>
                <w:sz w:val="22"/>
                <w:szCs w:val="22"/>
                <w:lang w:val="lv-LV"/>
              </w:rPr>
              <w:t>objektīvus un nediskriminējošus kritērijus vai noteikumus, kuras tas nolēmis piemērot</w:t>
            </w:r>
            <w:r w:rsidRPr="00D3579E">
              <w:rPr>
                <w:rFonts w:eastAsia="Calibri"/>
                <w:sz w:val="22"/>
                <w:szCs w:val="22"/>
                <w:lang w:val="lv-LV"/>
              </w:rPr>
              <w:t>”, bet 17.panta otrajā daļā noteikts, ka piedāvājuma izvēli pasūtītājs veic saskaņā ar “</w:t>
            </w:r>
            <w:r w:rsidRPr="00D3579E">
              <w:rPr>
                <w:rFonts w:eastAsia="Calibri"/>
                <w:i/>
                <w:sz w:val="22"/>
                <w:szCs w:val="22"/>
                <w:lang w:val="lv-LV"/>
              </w:rPr>
              <w:t>noteiktajiem izvērtēšanas kritērijiem</w:t>
            </w:r>
            <w:r w:rsidRPr="00D3579E">
              <w:rPr>
                <w:rFonts w:eastAsia="Calibri"/>
                <w:sz w:val="22"/>
                <w:szCs w:val="22"/>
                <w:lang w:val="lv-LV"/>
              </w:rPr>
              <w:t xml:space="preserve">”. Pasūtītājs ir izmantojis terminu (“izšķirošais kritērijs”), bet nav to paskaidrojis pēc būtības. Likuma 57.panta septītās daļas regulējums nosaka pasūtītāja tiesības izmantot tādu kategoriju kā “izšķirošais kritērijs”, kā arī pasūtītāja pienākumu skaidri un nepārprotami noteikt konkurenci neierobežojošus un objektīvi salīdzinājumus kritērijus, kā arī  tos norādīt iepirkuma procedūras dokumentos. Nolikuma 19.2.punkta prasības ir pretrunā SPSIL 2., 17., 30., 47.panta regulējumam, tāpēc lūdzam pasūtītāju skaidrot un nepārprotami formulēt nolikuma 19.2.punktā norādīto “izšķirošo kritēriju”. </w:t>
            </w:r>
          </w:p>
          <w:p w14:paraId="1D0E5A4B" w14:textId="77777777" w:rsidR="00D3579E" w:rsidRPr="00D3579E" w:rsidRDefault="00D3579E" w:rsidP="00D3579E">
            <w:pPr>
              <w:jc w:val="both"/>
              <w:rPr>
                <w:rFonts w:eastAsia="Calibri"/>
                <w:sz w:val="22"/>
                <w:szCs w:val="22"/>
                <w:lang w:val="lv-LV"/>
              </w:rPr>
            </w:pPr>
          </w:p>
        </w:tc>
        <w:tc>
          <w:tcPr>
            <w:tcW w:w="4789" w:type="dxa"/>
          </w:tcPr>
          <w:p w14:paraId="4AAAB574" w14:textId="39A4864F" w:rsidR="00D3579E" w:rsidRPr="00D3579E" w:rsidRDefault="00D3579E" w:rsidP="00D3579E">
            <w:pPr>
              <w:jc w:val="both"/>
              <w:rPr>
                <w:rFonts w:eastAsia="Calibri"/>
                <w:bCs/>
                <w:sz w:val="22"/>
                <w:lang w:val="lv-LV"/>
              </w:rPr>
            </w:pPr>
            <w:r w:rsidRPr="00D3579E">
              <w:rPr>
                <w:rFonts w:eastAsia="Calibri"/>
                <w:bCs/>
                <w:sz w:val="22"/>
                <w:lang w:val="lv-LV"/>
              </w:rPr>
              <w:t xml:space="preserve">Atbildot uz jautājumu, informējam, ka Nolikuma 19.2. punkta </w:t>
            </w:r>
            <w:r w:rsidRPr="005141C7">
              <w:rPr>
                <w:rFonts w:eastAsia="Calibri"/>
                <w:bCs/>
                <w:sz w:val="22"/>
                <w:lang w:val="lv-LV"/>
              </w:rPr>
              <w:t>redakcija tika precizēta</w:t>
            </w:r>
            <w:r w:rsidR="005141C7">
              <w:rPr>
                <w:rFonts w:eastAsia="Calibri"/>
                <w:bCs/>
                <w:sz w:val="22"/>
                <w:lang w:val="lv-LV"/>
              </w:rPr>
              <w:t xml:space="preserve"> saskaņā ar grozījumiem Nr.1.</w:t>
            </w:r>
            <w:r w:rsidRPr="00D3579E">
              <w:rPr>
                <w:rFonts w:eastAsia="Calibri"/>
                <w:bCs/>
                <w:sz w:val="22"/>
                <w:lang w:val="lv-LV"/>
              </w:rPr>
              <w:t xml:space="preserve"> </w:t>
            </w:r>
          </w:p>
          <w:p w14:paraId="1200048D" w14:textId="77777777" w:rsidR="00D3579E" w:rsidRPr="00D3579E" w:rsidRDefault="00D3579E" w:rsidP="00D3579E">
            <w:pPr>
              <w:jc w:val="both"/>
              <w:rPr>
                <w:rFonts w:eastAsia="Calibri"/>
                <w:sz w:val="22"/>
                <w:szCs w:val="22"/>
                <w:lang w:val="lv-LV"/>
              </w:rPr>
            </w:pPr>
            <w:r w:rsidRPr="00D3579E">
              <w:rPr>
                <w:rFonts w:eastAsia="Calibri"/>
                <w:bCs/>
                <w:lang w:val="lv-LV"/>
              </w:rPr>
              <w:t xml:space="preserve">Lūdzam sekot līdzi informācijai </w:t>
            </w:r>
            <w:r w:rsidRPr="00D3579E">
              <w:rPr>
                <w:rFonts w:eastAsia="Calibri"/>
                <w:lang w:val="lv-LV"/>
              </w:rPr>
              <w:t xml:space="preserve">Daugavpils pilsētas domes mājas lapā </w:t>
            </w:r>
            <w:r w:rsidR="00C95D7B">
              <w:fldChar w:fldCharType="begin"/>
            </w:r>
            <w:r w:rsidR="00C95D7B" w:rsidRPr="00E00EA5">
              <w:rPr>
                <w:lang w:val="lv-LV"/>
              </w:rPr>
              <w:instrText xml:space="preserve"> HYPERLINK "http://www.daugavpils.lv" </w:instrText>
            </w:r>
            <w:r w:rsidR="00C95D7B">
              <w:fldChar w:fldCharType="separate"/>
            </w:r>
            <w:r w:rsidRPr="00D3579E">
              <w:rPr>
                <w:rFonts w:eastAsia="Calibri"/>
                <w:color w:val="0000FF"/>
                <w:u w:val="single"/>
                <w:lang w:val="lv-LV"/>
              </w:rPr>
              <w:t>www.daugavpils.lv</w:t>
            </w:r>
            <w:r w:rsidR="00C95D7B">
              <w:rPr>
                <w:rFonts w:eastAsia="Calibri"/>
                <w:color w:val="0000FF"/>
                <w:u w:val="single"/>
                <w:lang w:val="lv-LV"/>
              </w:rPr>
              <w:fldChar w:fldCharType="end"/>
            </w:r>
            <w:r w:rsidRPr="00D3579E">
              <w:rPr>
                <w:rFonts w:eastAsia="Calibri"/>
                <w:u w:val="single"/>
                <w:lang w:val="lv-LV"/>
              </w:rPr>
              <w:t xml:space="preserve"> </w:t>
            </w:r>
            <w:r w:rsidRPr="00D3579E">
              <w:rPr>
                <w:rFonts w:eastAsia="Calibri"/>
                <w:lang w:val="lv-LV"/>
              </w:rPr>
              <w:t xml:space="preserve">, kā arī SIA “Daugavpils ūdens” mājas lapā </w:t>
            </w:r>
            <w:r w:rsidR="00C95D7B">
              <w:fldChar w:fldCharType="begin"/>
            </w:r>
            <w:r w:rsidR="00C95D7B" w:rsidRPr="00E00EA5">
              <w:rPr>
                <w:lang w:val="lv-LV"/>
              </w:rPr>
              <w:instrText xml:space="preserve"> HYPERLINK "http://www.daugavpils.udens.lv" </w:instrText>
            </w:r>
            <w:r w:rsidR="00C95D7B">
              <w:fldChar w:fldCharType="separate"/>
            </w:r>
            <w:r w:rsidRPr="00D3579E">
              <w:rPr>
                <w:rFonts w:eastAsia="Calibri"/>
                <w:color w:val="0000FF"/>
                <w:u w:val="single"/>
                <w:lang w:val="lv-LV"/>
              </w:rPr>
              <w:t>www.daugavpils.udens.lv</w:t>
            </w:r>
            <w:r w:rsidR="00C95D7B">
              <w:rPr>
                <w:rFonts w:eastAsia="Calibri"/>
                <w:color w:val="0000FF"/>
                <w:u w:val="single"/>
                <w:lang w:val="lv-LV"/>
              </w:rPr>
              <w:fldChar w:fldCharType="end"/>
            </w:r>
            <w:r w:rsidRPr="00D3579E">
              <w:rPr>
                <w:rFonts w:eastAsia="Calibri"/>
                <w:u w:val="single"/>
                <w:lang w:val="lv-LV"/>
              </w:rPr>
              <w:t xml:space="preserve"> </w:t>
            </w:r>
            <w:r w:rsidRPr="00D3579E">
              <w:rPr>
                <w:rFonts w:eastAsia="Calibri"/>
                <w:lang w:val="lv-LV"/>
              </w:rPr>
              <w:t xml:space="preserve"> </w:t>
            </w:r>
            <w:r w:rsidRPr="00D3579E">
              <w:rPr>
                <w:rFonts w:eastAsia="Calibri"/>
                <w:snapToGrid w:val="0"/>
                <w:lang w:val="lv-LV"/>
              </w:rPr>
              <w:t xml:space="preserve">informatīvajā daļā, sadaļā “Iepirkumi </w:t>
            </w:r>
            <w:r w:rsidRPr="00D3579E">
              <w:rPr>
                <w:rFonts w:eastAsia="Calibri"/>
                <w:lang w:val="lv-LV"/>
              </w:rPr>
              <w:t>un mantas atsavināšana</w:t>
            </w:r>
            <w:r w:rsidRPr="00D3579E">
              <w:rPr>
                <w:rFonts w:eastAsia="Calibri"/>
                <w:snapToGrid w:val="0"/>
                <w:lang w:val="lv-LV"/>
              </w:rPr>
              <w:t>”</w:t>
            </w:r>
          </w:p>
        </w:tc>
      </w:tr>
      <w:tr w:rsidR="00D3579E" w:rsidRPr="00E00EA5" w14:paraId="6CF57C5B" w14:textId="77777777" w:rsidTr="00DC4D5A">
        <w:tc>
          <w:tcPr>
            <w:tcW w:w="7933" w:type="dxa"/>
          </w:tcPr>
          <w:p w14:paraId="1DA443E8" w14:textId="77777777" w:rsidR="00D3579E" w:rsidRPr="00D3579E" w:rsidRDefault="00D3579E" w:rsidP="00D3579E">
            <w:pPr>
              <w:jc w:val="both"/>
              <w:rPr>
                <w:rFonts w:eastAsia="Calibri"/>
                <w:sz w:val="22"/>
                <w:szCs w:val="22"/>
                <w:lang w:val="lv-LV"/>
              </w:rPr>
            </w:pPr>
            <w:r w:rsidRPr="00D3579E">
              <w:rPr>
                <w:rFonts w:eastAsia="Calibri"/>
                <w:sz w:val="22"/>
                <w:szCs w:val="22"/>
                <w:lang w:val="lv-LV"/>
              </w:rPr>
              <w:t>Nolikuma 6.2.punkts un 22.7.punkts nosaka, ka Pasūtītājs pats veic objektu nodošanu ekspluatācijā. Tas ir pretrunā ar Tehnisko specifikāciju (nolikuma 1.pielikums, FIDIC līgums) īpašo noteikumu 3.1.punktu, kur nepārprotami norādīts, ka “Būvuzņēmējs veic objektu būvniecību, pārbauda tos un nodod ekspluatācijā”. Pasūtītājs ir sniedzis maldinošu, pretrunīgu un nepilnīgu informāciju, kā rezultātā pretendents nevar skaidri un nepārprotami konstatēt iepirkuma priekšmeta apjomu un savas (un būvniecības dalībnieku) atbildības robežas. Likuma 65.pants nosaka, ka iepirkuma līgums nosaka tiesiskās attiecības starp pasūtītāju un piegādātāju, un tā obligāta sastāvdaļa ir iepirkuma priekšmets, tā apjoms un prasības. Pasūtītājs ir pārkāpis Likuma 2.panta  un 65.panta regulējumu, tāpēc lūdzam pasūtītāju precizēt šīs prasības.</w:t>
            </w:r>
          </w:p>
          <w:p w14:paraId="41CDE8FB" w14:textId="77777777" w:rsidR="00D3579E" w:rsidRPr="00D3579E" w:rsidRDefault="00D3579E" w:rsidP="00D3579E">
            <w:pPr>
              <w:rPr>
                <w:rFonts w:eastAsia="Calibri"/>
                <w:sz w:val="22"/>
                <w:szCs w:val="22"/>
                <w:lang w:val="lv-LV"/>
              </w:rPr>
            </w:pPr>
          </w:p>
        </w:tc>
        <w:tc>
          <w:tcPr>
            <w:tcW w:w="4789" w:type="dxa"/>
          </w:tcPr>
          <w:p w14:paraId="136FCCE3" w14:textId="77777777" w:rsidR="00D3579E" w:rsidRPr="00D3579E" w:rsidRDefault="00D3579E" w:rsidP="00D3579E">
            <w:pPr>
              <w:jc w:val="both"/>
              <w:rPr>
                <w:rFonts w:eastAsia="Calibri"/>
                <w:bCs/>
                <w:sz w:val="22"/>
                <w:lang w:val="lv-LV"/>
              </w:rPr>
            </w:pPr>
            <w:r w:rsidRPr="00D3579E">
              <w:rPr>
                <w:rFonts w:eastAsia="Calibri"/>
                <w:bCs/>
                <w:sz w:val="22"/>
                <w:lang w:val="lv-LV"/>
              </w:rPr>
              <w:t xml:space="preserve">Atbildot uz jautājumu, informējam, ka Tehniskās specifikācijas 3.1. punkta </w:t>
            </w:r>
            <w:r w:rsidRPr="005141C7">
              <w:rPr>
                <w:rFonts w:eastAsia="Calibri"/>
                <w:bCs/>
                <w:sz w:val="22"/>
                <w:lang w:val="lv-LV"/>
              </w:rPr>
              <w:t>redakcija tika precizēta.</w:t>
            </w:r>
            <w:r w:rsidRPr="00D3579E">
              <w:rPr>
                <w:rFonts w:eastAsia="Calibri"/>
                <w:bCs/>
                <w:sz w:val="22"/>
                <w:lang w:val="lv-LV"/>
              </w:rPr>
              <w:t xml:space="preserve"> </w:t>
            </w:r>
          </w:p>
          <w:p w14:paraId="4313E2ED" w14:textId="77777777" w:rsidR="00D3579E" w:rsidRPr="00D3579E" w:rsidRDefault="00D3579E" w:rsidP="00D3579E">
            <w:pPr>
              <w:jc w:val="both"/>
              <w:rPr>
                <w:rFonts w:eastAsia="Calibri"/>
                <w:sz w:val="22"/>
                <w:szCs w:val="22"/>
                <w:lang w:val="lv-LV"/>
              </w:rPr>
            </w:pPr>
            <w:r w:rsidRPr="00D3579E">
              <w:rPr>
                <w:rFonts w:eastAsia="Calibri"/>
                <w:bCs/>
                <w:lang w:val="lv-LV"/>
              </w:rPr>
              <w:t xml:space="preserve">Lūdzam sekot līdzi informācijai </w:t>
            </w:r>
            <w:r w:rsidRPr="00D3579E">
              <w:rPr>
                <w:rFonts w:eastAsia="Calibri"/>
                <w:lang w:val="lv-LV"/>
              </w:rPr>
              <w:t xml:space="preserve">Daugavpils pilsētas domes mājas lapā </w:t>
            </w:r>
            <w:r w:rsidR="00C95D7B">
              <w:fldChar w:fldCharType="begin"/>
            </w:r>
            <w:r w:rsidR="00C95D7B" w:rsidRPr="00E00EA5">
              <w:rPr>
                <w:lang w:val="lv-LV"/>
              </w:rPr>
              <w:instrText xml:space="preserve"> HYPERLINK "http://www.daugavpils.lv" </w:instrText>
            </w:r>
            <w:r w:rsidR="00C95D7B">
              <w:fldChar w:fldCharType="separate"/>
            </w:r>
            <w:r w:rsidRPr="00D3579E">
              <w:rPr>
                <w:rFonts w:eastAsia="Calibri"/>
                <w:color w:val="0000FF"/>
                <w:u w:val="single"/>
                <w:lang w:val="lv-LV"/>
              </w:rPr>
              <w:t>www.daugavpils.lv</w:t>
            </w:r>
            <w:r w:rsidR="00C95D7B">
              <w:rPr>
                <w:rFonts w:eastAsia="Calibri"/>
                <w:color w:val="0000FF"/>
                <w:u w:val="single"/>
                <w:lang w:val="lv-LV"/>
              </w:rPr>
              <w:fldChar w:fldCharType="end"/>
            </w:r>
            <w:r w:rsidRPr="00D3579E">
              <w:rPr>
                <w:rFonts w:eastAsia="Calibri"/>
                <w:u w:val="single"/>
                <w:lang w:val="lv-LV"/>
              </w:rPr>
              <w:t xml:space="preserve"> </w:t>
            </w:r>
            <w:r w:rsidRPr="00D3579E">
              <w:rPr>
                <w:rFonts w:eastAsia="Calibri"/>
                <w:lang w:val="lv-LV"/>
              </w:rPr>
              <w:t xml:space="preserve">, kā arī SIA “Daugavpils ūdens” mājas lapā </w:t>
            </w:r>
            <w:r w:rsidR="00C95D7B">
              <w:fldChar w:fldCharType="begin"/>
            </w:r>
            <w:r w:rsidR="00C95D7B" w:rsidRPr="00E00EA5">
              <w:rPr>
                <w:lang w:val="lv-LV"/>
              </w:rPr>
              <w:instrText xml:space="preserve"> HYPERLINK "http://www.daugavpils.udens.lv" </w:instrText>
            </w:r>
            <w:r w:rsidR="00C95D7B">
              <w:fldChar w:fldCharType="separate"/>
            </w:r>
            <w:r w:rsidRPr="00D3579E">
              <w:rPr>
                <w:rFonts w:eastAsia="Calibri"/>
                <w:color w:val="0000FF"/>
                <w:u w:val="single"/>
                <w:lang w:val="lv-LV"/>
              </w:rPr>
              <w:t>www.daugavpils.udens.lv</w:t>
            </w:r>
            <w:r w:rsidR="00C95D7B">
              <w:rPr>
                <w:rFonts w:eastAsia="Calibri"/>
                <w:color w:val="0000FF"/>
                <w:u w:val="single"/>
                <w:lang w:val="lv-LV"/>
              </w:rPr>
              <w:fldChar w:fldCharType="end"/>
            </w:r>
            <w:r w:rsidRPr="00D3579E">
              <w:rPr>
                <w:rFonts w:eastAsia="Calibri"/>
                <w:u w:val="single"/>
                <w:lang w:val="lv-LV"/>
              </w:rPr>
              <w:t xml:space="preserve"> </w:t>
            </w:r>
            <w:r w:rsidRPr="00D3579E">
              <w:rPr>
                <w:rFonts w:eastAsia="Calibri"/>
                <w:lang w:val="lv-LV"/>
              </w:rPr>
              <w:t xml:space="preserve"> </w:t>
            </w:r>
            <w:r w:rsidRPr="00D3579E">
              <w:rPr>
                <w:rFonts w:eastAsia="Calibri"/>
                <w:snapToGrid w:val="0"/>
                <w:lang w:val="lv-LV"/>
              </w:rPr>
              <w:t xml:space="preserve">informatīvajā daļā, sadaļā “Iepirkumi </w:t>
            </w:r>
            <w:r w:rsidRPr="00D3579E">
              <w:rPr>
                <w:rFonts w:eastAsia="Calibri"/>
                <w:lang w:val="lv-LV"/>
              </w:rPr>
              <w:t>un mantas atsavināšana</w:t>
            </w:r>
            <w:r w:rsidRPr="00D3579E">
              <w:rPr>
                <w:rFonts w:eastAsia="Calibri"/>
                <w:snapToGrid w:val="0"/>
                <w:lang w:val="lv-LV"/>
              </w:rPr>
              <w:t>”</w:t>
            </w:r>
          </w:p>
        </w:tc>
      </w:tr>
      <w:tr w:rsidR="00D3579E" w:rsidRPr="00E00EA5" w14:paraId="28ADF9E0" w14:textId="77777777" w:rsidTr="00DC4D5A">
        <w:tc>
          <w:tcPr>
            <w:tcW w:w="7933" w:type="dxa"/>
          </w:tcPr>
          <w:p w14:paraId="20B09C3B" w14:textId="77777777" w:rsidR="00D3579E" w:rsidRPr="00D3579E" w:rsidRDefault="00D3579E" w:rsidP="00D3579E">
            <w:pPr>
              <w:jc w:val="both"/>
              <w:rPr>
                <w:rFonts w:eastAsia="Calibri"/>
                <w:sz w:val="22"/>
                <w:szCs w:val="22"/>
                <w:lang w:val="lv-LV"/>
              </w:rPr>
            </w:pPr>
            <w:r w:rsidRPr="00D3579E">
              <w:rPr>
                <w:rFonts w:eastAsia="Calibri"/>
                <w:sz w:val="22"/>
                <w:szCs w:val="22"/>
                <w:lang w:val="lv-LV"/>
              </w:rPr>
              <w:t>Nolikuma 22.8.punktā jābūt atrunātiem neparedzētiem gadījumiem, kas var ietekmēt cenas, tādi gadījumi būtu uzskaitāmi - izmaiņas nodokļu sistēmā t.i. likumdošana, inflācija u.tml., jo iepriekš minēto gadījumu ietekmē, nemainot cenas, Uzņēmējs cietīs zaudējumus. Uzskatām, ka pasūtītājs ir pārkāpis Likuma 2.panta  un 65.panta regulējumu, lūdzam veikt izmaiņas un uzskaitīt šos gadījumus.</w:t>
            </w:r>
          </w:p>
          <w:p w14:paraId="32664FF0" w14:textId="77777777" w:rsidR="00D3579E" w:rsidRPr="00D3579E" w:rsidRDefault="00D3579E" w:rsidP="00D3579E">
            <w:pPr>
              <w:rPr>
                <w:rFonts w:eastAsia="Calibri"/>
                <w:sz w:val="22"/>
                <w:szCs w:val="22"/>
                <w:lang w:val="lv-LV"/>
              </w:rPr>
            </w:pPr>
          </w:p>
        </w:tc>
        <w:tc>
          <w:tcPr>
            <w:tcW w:w="4789" w:type="dxa"/>
          </w:tcPr>
          <w:p w14:paraId="1A156F20" w14:textId="77777777" w:rsidR="00D3579E" w:rsidRPr="00D3579E" w:rsidRDefault="00D3579E" w:rsidP="00D3579E">
            <w:pPr>
              <w:jc w:val="both"/>
              <w:rPr>
                <w:rFonts w:eastAsia="Calibri"/>
                <w:sz w:val="22"/>
                <w:szCs w:val="22"/>
                <w:lang w:val="lv-LV"/>
              </w:rPr>
            </w:pPr>
            <w:r w:rsidRPr="00D3579E">
              <w:rPr>
                <w:rFonts w:eastAsia="Calibri"/>
                <w:sz w:val="22"/>
                <w:szCs w:val="22"/>
                <w:lang w:val="lv-LV"/>
              </w:rPr>
              <w:t>Būvdarbu laikā nepieciešamas izmaiņas, labojumi vai grozījumi tiks veikti saskaņā ar FIDIC būvniecības darbu līguma noteikumiem.</w:t>
            </w:r>
          </w:p>
          <w:p w14:paraId="4354D64C" w14:textId="77777777" w:rsidR="00D3579E" w:rsidRPr="00D3579E" w:rsidRDefault="00D3579E" w:rsidP="00D3579E">
            <w:pPr>
              <w:jc w:val="both"/>
              <w:rPr>
                <w:rFonts w:eastAsia="Calibri"/>
                <w:lang w:val="lv-LV"/>
              </w:rPr>
            </w:pPr>
          </w:p>
        </w:tc>
      </w:tr>
      <w:tr w:rsidR="00D3579E" w:rsidRPr="00E00EA5" w14:paraId="1FDACD85" w14:textId="77777777" w:rsidTr="00DC4D5A">
        <w:tc>
          <w:tcPr>
            <w:tcW w:w="7933" w:type="dxa"/>
          </w:tcPr>
          <w:p w14:paraId="3557DF2A" w14:textId="77777777" w:rsidR="00D3579E" w:rsidRPr="00D3579E" w:rsidRDefault="00D3579E" w:rsidP="00D3579E">
            <w:pPr>
              <w:ind w:right="113"/>
              <w:jc w:val="both"/>
              <w:rPr>
                <w:rFonts w:eastAsia="Calibri"/>
                <w:sz w:val="22"/>
                <w:szCs w:val="22"/>
                <w:lang w:val="lv-LV"/>
              </w:rPr>
            </w:pPr>
            <w:r w:rsidRPr="00D3579E">
              <w:rPr>
                <w:rFonts w:eastAsia="Calibri"/>
                <w:sz w:val="22"/>
                <w:szCs w:val="22"/>
                <w:lang w:val="lv-LV"/>
              </w:rPr>
              <w:t xml:space="preserve">No iepirkumam pievienotās tehniskās dokumentācijas konstatējams, ka 2017.gada oktobrī Būvvalde sniedza apliecinājumu par projektēšanas nosacījumu izpildi. Iepirkumu uzraudzības birojs savos 25.10.2017. metodoloģiskajos skaidrojumos par </w:t>
            </w:r>
            <w:proofErr w:type="spellStart"/>
            <w:r w:rsidRPr="00D3579E">
              <w:rPr>
                <w:rFonts w:eastAsia="Calibri"/>
                <w:sz w:val="22"/>
                <w:szCs w:val="22"/>
                <w:lang w:val="lv-LV"/>
              </w:rPr>
              <w:t>priekšizpētes</w:t>
            </w:r>
            <w:proofErr w:type="spellEnd"/>
            <w:r w:rsidRPr="00D3579E">
              <w:rPr>
                <w:rFonts w:eastAsia="Calibri"/>
                <w:sz w:val="22"/>
                <w:szCs w:val="22"/>
                <w:lang w:val="lv-LV"/>
              </w:rPr>
              <w:t xml:space="preserve"> veikšanu </w:t>
            </w:r>
            <w:proofErr w:type="spellStart"/>
            <w:r w:rsidRPr="00D3579E">
              <w:rPr>
                <w:rFonts w:eastAsia="Calibri"/>
                <w:sz w:val="22"/>
                <w:szCs w:val="22"/>
                <w:lang w:val="lv-LV"/>
              </w:rPr>
              <w:t>paredzās</w:t>
            </w:r>
            <w:proofErr w:type="spellEnd"/>
            <w:r w:rsidRPr="00D3579E">
              <w:rPr>
                <w:rFonts w:eastAsia="Calibri"/>
                <w:sz w:val="22"/>
                <w:szCs w:val="22"/>
                <w:lang w:val="lv-LV"/>
              </w:rPr>
              <w:t xml:space="preserve"> līgumcenas noteikšanai (saite: </w:t>
            </w:r>
            <w:r w:rsidR="00C95D7B">
              <w:fldChar w:fldCharType="begin"/>
            </w:r>
            <w:r w:rsidR="00C95D7B" w:rsidRPr="00E00EA5">
              <w:rPr>
                <w:lang w:val="lv-LV"/>
              </w:rPr>
              <w:instrText xml:space="preserve"> HYPERLINK "https://www.iub.gov.lv/sites/default/files/upload/Skaidrojums_prieksizpete_20</w:instrText>
            </w:r>
            <w:r w:rsidR="00C95D7B" w:rsidRPr="00E00EA5">
              <w:rPr>
                <w:lang w:val="lv-LV"/>
              </w:rPr>
              <w:instrText xml:space="preserve">171025.pdf" </w:instrText>
            </w:r>
            <w:r w:rsidR="00C95D7B">
              <w:fldChar w:fldCharType="separate"/>
            </w:r>
            <w:r w:rsidRPr="00D3579E">
              <w:rPr>
                <w:rFonts w:eastAsia="Calibri"/>
                <w:color w:val="0000FF"/>
                <w:sz w:val="22"/>
                <w:szCs w:val="22"/>
                <w:u w:val="single"/>
                <w:lang w:val="lv-LV"/>
              </w:rPr>
              <w:t>https://www.iub.gov.lv/sites/default/files/upload/Skaidrojums_prieksizpete_20171025.pdf</w:t>
            </w:r>
            <w:r w:rsidR="00C95D7B">
              <w:rPr>
                <w:rFonts w:eastAsia="Calibri"/>
                <w:color w:val="0000FF"/>
                <w:sz w:val="22"/>
                <w:szCs w:val="22"/>
                <w:u w:val="single"/>
                <w:lang w:val="lv-LV"/>
              </w:rPr>
              <w:fldChar w:fldCharType="end"/>
            </w:r>
            <w:r w:rsidRPr="00D3579E">
              <w:rPr>
                <w:rFonts w:eastAsia="Calibri"/>
                <w:sz w:val="22"/>
                <w:szCs w:val="22"/>
                <w:lang w:val="lv-LV"/>
              </w:rPr>
              <w:t xml:space="preserve">) </w:t>
            </w:r>
            <w:r w:rsidRPr="00D3579E">
              <w:rPr>
                <w:rFonts w:eastAsia="Calibri"/>
                <w:sz w:val="22"/>
                <w:szCs w:val="22"/>
                <w:lang w:val="lv-LV"/>
              </w:rPr>
              <w:lastRenderedPageBreak/>
              <w:t xml:space="preserve">norāda, ka Pasūtītāja pienākums veikt līgumcenas </w:t>
            </w:r>
            <w:proofErr w:type="spellStart"/>
            <w:r w:rsidRPr="00D3579E">
              <w:rPr>
                <w:rFonts w:eastAsia="Calibri"/>
                <w:sz w:val="22"/>
                <w:szCs w:val="22"/>
                <w:lang w:val="lv-LV"/>
              </w:rPr>
              <w:t>priekšizpēti</w:t>
            </w:r>
            <w:proofErr w:type="spellEnd"/>
            <w:r w:rsidRPr="00D3579E">
              <w:rPr>
                <w:rFonts w:eastAsia="Calibri"/>
                <w:sz w:val="22"/>
                <w:szCs w:val="22"/>
                <w:lang w:val="lv-LV"/>
              </w:rPr>
              <w:t xml:space="preserve"> izriet no Sabiedrisko pakalpojumu sniedzēju iepirkuma likuma 2.pantā noteiktā mērķa, proti, pasūtītāja, sabiedrisko pakalpojumu sniedzēja, publisku personu līdzekļu efektīvu izmantošanu, mazinot pasūtītāja risku. Atbilstoši SPSIL – 14.panta regulējumam pasūtītājam ir pienākums noteikt paredzamo līgumcenu. Kā norāda IUB, paredzamās līgumcenas noteikšanas gadījumā viens no avotiem ir sertificēta speciālista izstrādāts darbu un materiālu kopsavilkums ar attiecīgi noteiktu līgumcenu. Tomēr šāds līgumcenas </w:t>
            </w:r>
            <w:proofErr w:type="spellStart"/>
            <w:r w:rsidRPr="00D3579E">
              <w:rPr>
                <w:rFonts w:eastAsia="Calibri"/>
                <w:sz w:val="22"/>
                <w:szCs w:val="22"/>
                <w:lang w:val="lv-LV"/>
              </w:rPr>
              <w:t>priekšizpētes</w:t>
            </w:r>
            <w:proofErr w:type="spellEnd"/>
            <w:r w:rsidRPr="00D3579E">
              <w:rPr>
                <w:rFonts w:eastAsia="Calibri"/>
                <w:sz w:val="22"/>
                <w:szCs w:val="22"/>
                <w:lang w:val="lv-LV"/>
              </w:rPr>
              <w:t xml:space="preserve"> pamatojums ir </w:t>
            </w:r>
            <w:r w:rsidRPr="00D3579E">
              <w:rPr>
                <w:rFonts w:eastAsia="Calibri"/>
                <w:b/>
                <w:sz w:val="22"/>
                <w:szCs w:val="22"/>
                <w:u w:val="single"/>
                <w:lang w:val="lv-LV"/>
              </w:rPr>
              <w:t>derīgs tikai 12 mēnešus un pēc tam paredzamo līgumcenu nepieciešams aktualizēt, piemērojot statistikas datos noteiktos koeficientus par būvdarbu un materiālu sadārdzinājumu</w:t>
            </w:r>
            <w:r w:rsidRPr="00D3579E">
              <w:rPr>
                <w:rFonts w:eastAsia="Calibri"/>
                <w:sz w:val="22"/>
                <w:szCs w:val="22"/>
                <w:lang w:val="lv-LV"/>
              </w:rPr>
              <w:t xml:space="preserve"> vai samazinājumu. Līgumcenas </w:t>
            </w:r>
            <w:proofErr w:type="spellStart"/>
            <w:r w:rsidRPr="00D3579E">
              <w:rPr>
                <w:rFonts w:eastAsia="Calibri"/>
                <w:sz w:val="22"/>
                <w:szCs w:val="22"/>
                <w:lang w:val="lv-LV"/>
              </w:rPr>
              <w:t>priekšizpētes</w:t>
            </w:r>
            <w:proofErr w:type="spellEnd"/>
            <w:r w:rsidRPr="00D3579E">
              <w:rPr>
                <w:rFonts w:eastAsia="Calibri"/>
                <w:sz w:val="22"/>
                <w:szCs w:val="22"/>
                <w:lang w:val="lv-LV"/>
              </w:rPr>
              <w:t xml:space="preserve"> veikšana Pasūtītājam ir jādokumentē. Papildus IUB norāda, ka situācija, ja </w:t>
            </w:r>
            <w:r w:rsidRPr="00D3579E">
              <w:rPr>
                <w:rFonts w:eastAsia="Calibri"/>
                <w:i/>
                <w:sz w:val="22"/>
                <w:szCs w:val="22"/>
                <w:lang w:val="lv-LV"/>
              </w:rPr>
              <w:t>tiek konstatēts, ka noteiktais paredzamās līgumcenas apmērs ir nesamērīgs un neatbilstošs attiecībā uz tirgus cenām un izvirzītajām kvalifikācijas prasībām, var liecināt</w:t>
            </w:r>
            <w:r w:rsidRPr="00D3579E">
              <w:rPr>
                <w:rFonts w:eastAsia="Calibri"/>
                <w:b/>
                <w:i/>
                <w:sz w:val="22"/>
                <w:szCs w:val="22"/>
                <w:lang w:val="lv-LV"/>
              </w:rPr>
              <w:t xml:space="preserve"> </w:t>
            </w:r>
            <w:r w:rsidRPr="00D3579E">
              <w:rPr>
                <w:rFonts w:eastAsia="Calibri"/>
                <w:i/>
                <w:sz w:val="22"/>
                <w:szCs w:val="22"/>
                <w:lang w:val="lv-LV"/>
              </w:rPr>
              <w:t xml:space="preserve"> par </w:t>
            </w:r>
            <w:r w:rsidRPr="00D3579E">
              <w:rPr>
                <w:rFonts w:eastAsia="Calibri"/>
                <w:b/>
                <w:i/>
                <w:sz w:val="22"/>
                <w:szCs w:val="22"/>
                <w:lang w:val="lv-LV"/>
              </w:rPr>
              <w:t xml:space="preserve">nekvalitatīvu iepirkuma sagatavošanu, kas var negatīvi ietekmēt iepirkuma norisi, projekta atbilstošu ieviešanu, kā arī līdzekļu efektīvu izmantošanu, </w:t>
            </w:r>
            <w:r w:rsidRPr="00D3579E">
              <w:rPr>
                <w:rFonts w:eastAsia="Calibri"/>
                <w:i/>
                <w:sz w:val="22"/>
                <w:szCs w:val="22"/>
                <w:lang w:val="lv-LV"/>
              </w:rPr>
              <w:t xml:space="preserve">un uzraugošā iestāde var lemt par turpmāko nepieciešamo rīcību. </w:t>
            </w:r>
            <w:r w:rsidRPr="00D3579E">
              <w:rPr>
                <w:rFonts w:eastAsia="Calibri"/>
                <w:sz w:val="22"/>
                <w:szCs w:val="22"/>
                <w:lang w:val="lv-LV"/>
              </w:rPr>
              <w:t xml:space="preserve">Secināms, ka pasūtītāja prognozētā līgumcena neatbilst aktuālajai tirgus situācijai, un Pasūtītājs nav ieguvis pamatotu apliecinājumu paredzamās līgumcenas atbilstībai, tātad nav rīkojies ar Likuma regulējumam, jo kopš 2017.gada paredzamā cenu pasūtītājs acīmredzot nav mainījis, ko apliecina arī publiski pieejama informācija:  </w:t>
            </w:r>
          </w:p>
          <w:p w14:paraId="07193177" w14:textId="77777777" w:rsidR="00D3579E" w:rsidRPr="00D3579E" w:rsidRDefault="00D3579E" w:rsidP="00D3579E">
            <w:pPr>
              <w:numPr>
                <w:ilvl w:val="0"/>
                <w:numId w:val="6"/>
              </w:numPr>
              <w:spacing w:line="276" w:lineRule="auto"/>
              <w:ind w:right="113"/>
              <w:contextualSpacing/>
              <w:jc w:val="both"/>
              <w:rPr>
                <w:rFonts w:eastAsia="Calibri"/>
                <w:sz w:val="22"/>
                <w:szCs w:val="22"/>
                <w:lang w:val="lv-LV"/>
              </w:rPr>
            </w:pPr>
            <w:r w:rsidRPr="00D3579E">
              <w:rPr>
                <w:rFonts w:eastAsia="Calibri"/>
                <w:sz w:val="22"/>
                <w:szCs w:val="22"/>
                <w:lang w:val="lv-LV"/>
              </w:rPr>
              <w:t>15.03.2019. pasūtītāja SIA “Daugavpils Ūdens” publikācijā norādītā līgumcena ir 4 209 369,82 EUR bez PVN, līguma izpilde 365 dienas.</w:t>
            </w:r>
          </w:p>
          <w:p w14:paraId="6C8B6896" w14:textId="77777777" w:rsidR="00D3579E" w:rsidRPr="00D3579E" w:rsidRDefault="00D3579E" w:rsidP="00D3579E">
            <w:pPr>
              <w:numPr>
                <w:ilvl w:val="0"/>
                <w:numId w:val="6"/>
              </w:numPr>
              <w:spacing w:line="276" w:lineRule="auto"/>
              <w:ind w:right="113"/>
              <w:contextualSpacing/>
              <w:jc w:val="both"/>
              <w:rPr>
                <w:rFonts w:eastAsia="Calibri"/>
                <w:sz w:val="22"/>
                <w:szCs w:val="22"/>
                <w:lang w:val="lv-LV"/>
              </w:rPr>
            </w:pPr>
            <w:r w:rsidRPr="00D3579E">
              <w:rPr>
                <w:rFonts w:eastAsia="Calibri"/>
                <w:sz w:val="22"/>
                <w:szCs w:val="22"/>
                <w:lang w:val="lv-LV"/>
              </w:rPr>
              <w:t>26.11.2018. pasūtītāja Daugavpils pilsētas domes publikācijā norādītā līgumcena ir 4 209 369,82 EUR bez PVN (norādīts IUB publikācijā), līguma izpilde 365 dienas.</w:t>
            </w:r>
          </w:p>
          <w:p w14:paraId="3B3831D6" w14:textId="77777777" w:rsidR="00D3579E" w:rsidRPr="00D3579E" w:rsidRDefault="00D3579E" w:rsidP="00D3579E">
            <w:pPr>
              <w:numPr>
                <w:ilvl w:val="0"/>
                <w:numId w:val="6"/>
              </w:numPr>
              <w:spacing w:line="276" w:lineRule="auto"/>
              <w:ind w:right="113"/>
              <w:contextualSpacing/>
              <w:jc w:val="both"/>
              <w:rPr>
                <w:rFonts w:eastAsia="Calibri"/>
                <w:sz w:val="22"/>
                <w:szCs w:val="22"/>
                <w:lang w:val="lv-LV"/>
              </w:rPr>
            </w:pPr>
            <w:r w:rsidRPr="00D3579E">
              <w:rPr>
                <w:rFonts w:eastAsia="Calibri"/>
                <w:sz w:val="22"/>
                <w:szCs w:val="22"/>
                <w:lang w:val="lv-LV"/>
              </w:rPr>
              <w:t>14.05.2018. pasūtītāja Daugavpils pilsētas domes publikācijā norādītā līgumcena ir 4 209 369,82 EUR bez PVN (norādīts EIS), līguma izpilde 545 dienas.</w:t>
            </w:r>
          </w:p>
          <w:p w14:paraId="2F2F02FA" w14:textId="61CB4014" w:rsidR="00D3579E" w:rsidRPr="00904081" w:rsidRDefault="00D3579E" w:rsidP="00D3579E">
            <w:pPr>
              <w:numPr>
                <w:ilvl w:val="0"/>
                <w:numId w:val="6"/>
              </w:numPr>
              <w:spacing w:line="276" w:lineRule="auto"/>
              <w:ind w:right="113"/>
              <w:contextualSpacing/>
              <w:jc w:val="both"/>
              <w:rPr>
                <w:rFonts w:eastAsia="Calibri"/>
                <w:sz w:val="22"/>
                <w:szCs w:val="22"/>
                <w:lang w:val="lv-LV"/>
              </w:rPr>
            </w:pPr>
            <w:r w:rsidRPr="00D3579E">
              <w:rPr>
                <w:rFonts w:eastAsia="Calibri"/>
                <w:sz w:val="22"/>
                <w:szCs w:val="22"/>
                <w:lang w:val="lv-LV"/>
              </w:rPr>
              <w:t>19.02.2018. pasūtītāja Daugavpils pilsētas domes publikācijā norādītā līgumcena ir 4 209 370,00 EUR bez PVN (norādīts EIS), līguma izpilde 545 dienas.</w:t>
            </w:r>
          </w:p>
          <w:p w14:paraId="3991EF63" w14:textId="77777777" w:rsidR="00D3579E" w:rsidRPr="00D3579E" w:rsidRDefault="00D3579E" w:rsidP="00D3579E">
            <w:pPr>
              <w:jc w:val="both"/>
              <w:rPr>
                <w:rFonts w:eastAsia="Calibri"/>
                <w:sz w:val="22"/>
                <w:szCs w:val="22"/>
                <w:lang w:val="lv-LV"/>
              </w:rPr>
            </w:pPr>
            <w:r w:rsidRPr="00D3579E">
              <w:rPr>
                <w:rFonts w:eastAsia="Calibri"/>
                <w:sz w:val="22"/>
                <w:szCs w:val="22"/>
                <w:lang w:val="lv-LV"/>
              </w:rPr>
              <w:t xml:space="preserve">Mums ir šaubas par to, vai pasūtītājs ir pienācīgi pārliecinājies par norādītās līgumcenas atbilstību faktiskajai tirgus situācijai. Lūdzam pasūtītāju skaidrot, vai gadījumā, ja lētākā atbilstošā piedāvājuma cena pārsniegs pasūtītāja norādīto līgumcenu, pasūtītājs lems par iepirkuma procedūras pārtraukšanu vai izbeigšanu, vai arī pieņems kādu citu lēmumu (skaidrot – kādu) Likuma regulējuma ietvaros. </w:t>
            </w:r>
          </w:p>
          <w:p w14:paraId="5056205D" w14:textId="77777777" w:rsidR="00D3579E" w:rsidRPr="00D3579E" w:rsidRDefault="00D3579E" w:rsidP="00D3579E">
            <w:pPr>
              <w:jc w:val="both"/>
              <w:rPr>
                <w:rFonts w:eastAsia="Calibri"/>
                <w:sz w:val="22"/>
                <w:szCs w:val="22"/>
                <w:lang w:val="lv-LV"/>
              </w:rPr>
            </w:pPr>
          </w:p>
        </w:tc>
        <w:tc>
          <w:tcPr>
            <w:tcW w:w="4789" w:type="dxa"/>
          </w:tcPr>
          <w:p w14:paraId="13246F19" w14:textId="77777777" w:rsidR="00D3579E" w:rsidRPr="00D3579E" w:rsidRDefault="00D3579E" w:rsidP="00D3579E">
            <w:pPr>
              <w:jc w:val="both"/>
              <w:rPr>
                <w:rFonts w:eastAsia="Calibri"/>
                <w:sz w:val="22"/>
                <w:szCs w:val="22"/>
                <w:lang w:val="lv-LV"/>
              </w:rPr>
            </w:pPr>
            <w:r w:rsidRPr="00D3579E">
              <w:rPr>
                <w:rFonts w:eastAsia="Calibri"/>
                <w:sz w:val="22"/>
                <w:szCs w:val="22"/>
                <w:lang w:val="lv-LV"/>
              </w:rPr>
              <w:lastRenderedPageBreak/>
              <w:t xml:space="preserve">Pirms iepirkuma procedūras uzsākšanas Pasūtītājs ir veicis tirgus izpēti un pārliecinājies par paredzamās līgumcenas atbilstību tirgus situācijai Latvijā. </w:t>
            </w:r>
          </w:p>
          <w:p w14:paraId="77C6C75A" w14:textId="77777777" w:rsidR="00D3579E" w:rsidRPr="00D3579E" w:rsidRDefault="00D3579E" w:rsidP="00D3579E">
            <w:pPr>
              <w:rPr>
                <w:rFonts w:eastAsia="Calibri"/>
                <w:sz w:val="22"/>
                <w:szCs w:val="22"/>
                <w:lang w:val="lv-LV"/>
              </w:rPr>
            </w:pPr>
          </w:p>
        </w:tc>
      </w:tr>
      <w:tr w:rsidR="00D3579E" w:rsidRPr="00D3579E" w14:paraId="0D3F35A9" w14:textId="77777777" w:rsidTr="00DC4D5A">
        <w:tc>
          <w:tcPr>
            <w:tcW w:w="7933" w:type="dxa"/>
          </w:tcPr>
          <w:p w14:paraId="4F711400" w14:textId="38AFAC5E" w:rsidR="00D3579E" w:rsidRPr="00D3579E" w:rsidRDefault="00D3579E" w:rsidP="00D3579E">
            <w:pPr>
              <w:ind w:right="113"/>
              <w:jc w:val="both"/>
              <w:rPr>
                <w:rFonts w:eastAsia="Calibri"/>
                <w:sz w:val="22"/>
                <w:szCs w:val="22"/>
                <w:lang w:val="lv-LV"/>
              </w:rPr>
            </w:pPr>
            <w:r w:rsidRPr="00D3579E">
              <w:rPr>
                <w:rFonts w:eastAsia="Calibri"/>
                <w:sz w:val="22"/>
                <w:szCs w:val="22"/>
                <w:lang w:val="lv-LV"/>
              </w:rPr>
              <w:t>Līguma projekta 8.7.1. punktā Pasūtītāja noteiktais līguma sods Uzņēmējam 1000 EUR apmērā ir nesamērīgs un nepamatots. Ir jābūt atrunātam, ka līguma sods būtu atkarīgs no īpašuma bojāšanas rezultātā radušās zaudējuma vērtības. Lūdzam veikt attiecīgu precizējumu.</w:t>
            </w:r>
          </w:p>
        </w:tc>
        <w:tc>
          <w:tcPr>
            <w:tcW w:w="4789" w:type="dxa"/>
          </w:tcPr>
          <w:p w14:paraId="40192615" w14:textId="77777777" w:rsidR="00D3579E" w:rsidRPr="00D3579E" w:rsidRDefault="00D3579E" w:rsidP="00D3579E">
            <w:pPr>
              <w:jc w:val="both"/>
              <w:rPr>
                <w:rFonts w:eastAsia="Calibri"/>
                <w:sz w:val="22"/>
                <w:szCs w:val="22"/>
                <w:lang w:val="lv-LV"/>
              </w:rPr>
            </w:pPr>
            <w:r w:rsidRPr="00D3579E">
              <w:rPr>
                <w:rFonts w:eastAsia="Calibri"/>
                <w:sz w:val="22"/>
                <w:szCs w:val="22"/>
                <w:lang w:val="lv-LV"/>
              </w:rPr>
              <w:t xml:space="preserve">Prasība ir izvirzīta saskaņā ar Civillikuma nosacījumiem. </w:t>
            </w:r>
          </w:p>
          <w:p w14:paraId="1FD6C48E" w14:textId="77777777" w:rsidR="00D3579E" w:rsidRPr="00D3579E" w:rsidRDefault="00D3579E" w:rsidP="00D3579E">
            <w:pPr>
              <w:rPr>
                <w:rFonts w:eastAsia="Calibri"/>
                <w:color w:val="00B050"/>
                <w:sz w:val="22"/>
                <w:szCs w:val="22"/>
                <w:lang w:val="lv-LV"/>
              </w:rPr>
            </w:pPr>
          </w:p>
        </w:tc>
      </w:tr>
      <w:tr w:rsidR="00D3579E" w:rsidRPr="00E00EA5" w14:paraId="0E23333C" w14:textId="77777777" w:rsidTr="00DC4D5A">
        <w:tc>
          <w:tcPr>
            <w:tcW w:w="7933" w:type="dxa"/>
          </w:tcPr>
          <w:p w14:paraId="4CFA3F1A" w14:textId="77777777" w:rsidR="00D3579E" w:rsidRPr="00D3579E" w:rsidRDefault="00D3579E" w:rsidP="00D3579E">
            <w:pPr>
              <w:keepNext/>
              <w:keepLines/>
              <w:spacing w:line="276" w:lineRule="auto"/>
              <w:ind w:right="113"/>
              <w:jc w:val="both"/>
              <w:rPr>
                <w:rFonts w:eastAsia="Calibri"/>
                <w:kern w:val="1"/>
                <w:sz w:val="22"/>
                <w:szCs w:val="22"/>
                <w:lang w:val="lv-LV" w:bidi="hi-IN"/>
              </w:rPr>
            </w:pPr>
            <w:r w:rsidRPr="00D3579E">
              <w:rPr>
                <w:rFonts w:eastAsia="Calibri"/>
                <w:kern w:val="1"/>
                <w:sz w:val="22"/>
                <w:szCs w:val="22"/>
                <w:lang w:val="lv-LV" w:bidi="hi-IN"/>
              </w:rPr>
              <w:lastRenderedPageBreak/>
              <w:t>Līguma projekta 13.1.punktā Uzņēmēja pienākuma veikšanai noteiktais termiņš ir vārds “nekavējoties”. Objektīvu iemeslu dēļ lietotais jēdziens ir abstrakts, tāpēc jābūt atrunātam noteiktam darba dienu skaitam. Lūdzam veikt attiecīgu precizējumu.</w:t>
            </w:r>
          </w:p>
          <w:p w14:paraId="3753B6D1" w14:textId="77777777" w:rsidR="00D3579E" w:rsidRPr="00D3579E" w:rsidRDefault="00D3579E" w:rsidP="00D3579E">
            <w:pPr>
              <w:ind w:right="113"/>
              <w:jc w:val="both"/>
              <w:rPr>
                <w:rFonts w:eastAsia="Calibri"/>
                <w:sz w:val="22"/>
                <w:szCs w:val="22"/>
                <w:lang w:val="lv-LV"/>
              </w:rPr>
            </w:pPr>
          </w:p>
        </w:tc>
        <w:tc>
          <w:tcPr>
            <w:tcW w:w="4789" w:type="dxa"/>
          </w:tcPr>
          <w:p w14:paraId="219938C2" w14:textId="77777777" w:rsidR="00D3579E" w:rsidRPr="00D3579E" w:rsidRDefault="00D3579E" w:rsidP="00D3579E">
            <w:pPr>
              <w:jc w:val="both"/>
              <w:rPr>
                <w:rFonts w:eastAsia="Calibri"/>
                <w:sz w:val="22"/>
                <w:szCs w:val="22"/>
                <w:lang w:val="lv-LV"/>
              </w:rPr>
            </w:pPr>
            <w:r w:rsidRPr="00D3579E">
              <w:rPr>
                <w:rFonts w:eastAsia="Calibri"/>
                <w:sz w:val="22"/>
                <w:szCs w:val="22"/>
                <w:lang w:val="lv-LV"/>
              </w:rPr>
              <w:t xml:space="preserve">Līguma projekta 13.1. punktā noteiktais termins “nekavējoties”, proti, tajā pašā dienā, kad kļuva zināms par attiecīgiem apstākļiem. </w:t>
            </w:r>
          </w:p>
        </w:tc>
      </w:tr>
      <w:tr w:rsidR="00D3579E" w:rsidRPr="00E00EA5" w14:paraId="3EFEBB91" w14:textId="77777777" w:rsidTr="00DC4D5A">
        <w:tc>
          <w:tcPr>
            <w:tcW w:w="7933" w:type="dxa"/>
          </w:tcPr>
          <w:p w14:paraId="77714695" w14:textId="77777777" w:rsidR="00D3579E" w:rsidRPr="00D3579E" w:rsidRDefault="00D3579E" w:rsidP="00D3579E">
            <w:pPr>
              <w:keepNext/>
              <w:keepLines/>
              <w:spacing w:line="276" w:lineRule="auto"/>
              <w:ind w:right="113"/>
              <w:jc w:val="both"/>
              <w:rPr>
                <w:rFonts w:eastAsia="Calibri"/>
                <w:kern w:val="1"/>
                <w:sz w:val="22"/>
                <w:szCs w:val="22"/>
                <w:lang w:val="lv-LV" w:bidi="hi-IN"/>
              </w:rPr>
            </w:pPr>
            <w:r w:rsidRPr="00D3579E">
              <w:rPr>
                <w:rFonts w:eastAsia="Calibri"/>
                <w:kern w:val="1"/>
                <w:sz w:val="22"/>
                <w:szCs w:val="22"/>
                <w:lang w:val="lv-LV" w:bidi="hi-IN"/>
              </w:rPr>
              <w:t>Līguma projekta 14.3. un 14.11. punktā ir atrunāta vienošanās starp Pusēm par elektroniski parakstītu dokumentu iesniegšanu. Normatīvie akti neparedz šādu vienošanās. Pusēm ir tādas pašas tiesības kā iesniedzot papīra veida dokumentus, iesniegt arī elektroniski parakstītus. Lūdzam veikt attiecīgu precizējumu.</w:t>
            </w:r>
          </w:p>
          <w:p w14:paraId="4FADAE66" w14:textId="77777777" w:rsidR="00D3579E" w:rsidRPr="00D3579E" w:rsidRDefault="00D3579E" w:rsidP="00D3579E">
            <w:pPr>
              <w:keepNext/>
              <w:keepLines/>
              <w:spacing w:line="276" w:lineRule="auto"/>
              <w:ind w:right="113"/>
              <w:jc w:val="both"/>
              <w:rPr>
                <w:rFonts w:eastAsia="Calibri"/>
                <w:kern w:val="1"/>
                <w:sz w:val="22"/>
                <w:szCs w:val="22"/>
                <w:lang w:val="lv-LV" w:bidi="hi-IN"/>
              </w:rPr>
            </w:pPr>
          </w:p>
        </w:tc>
        <w:tc>
          <w:tcPr>
            <w:tcW w:w="4789" w:type="dxa"/>
          </w:tcPr>
          <w:p w14:paraId="55086B07" w14:textId="77777777" w:rsidR="00D3579E" w:rsidRPr="00D3579E" w:rsidRDefault="00D3579E" w:rsidP="00D3579E">
            <w:pPr>
              <w:jc w:val="both"/>
              <w:rPr>
                <w:rFonts w:eastAsia="Calibri"/>
                <w:color w:val="00B050"/>
                <w:sz w:val="22"/>
                <w:szCs w:val="22"/>
                <w:lang w:val="lv-LV"/>
              </w:rPr>
            </w:pPr>
            <w:r w:rsidRPr="00D3579E">
              <w:rPr>
                <w:rFonts w:eastAsia="Calibri"/>
                <w:sz w:val="22"/>
                <w:szCs w:val="22"/>
                <w:lang w:val="lv-LV"/>
              </w:rPr>
              <w:t>Atvieglojot informācijas apmaiņas procesu starp Pasūtītāju, Inženieri un Uzņēmēju, paredzēta dokumentu iesniegšanas veida saskaņošana.</w:t>
            </w:r>
          </w:p>
        </w:tc>
      </w:tr>
    </w:tbl>
    <w:p w14:paraId="4D6E8337" w14:textId="77777777" w:rsidR="00D3579E" w:rsidRPr="00D3579E" w:rsidRDefault="00D3579E" w:rsidP="00D3579E">
      <w:pPr>
        <w:spacing w:after="160" w:line="259" w:lineRule="auto"/>
        <w:rPr>
          <w:rFonts w:eastAsia="Calibri"/>
          <w:sz w:val="22"/>
          <w:szCs w:val="22"/>
          <w:lang w:val="lv-LV"/>
        </w:rPr>
      </w:pPr>
    </w:p>
    <w:p w14:paraId="439866B8" w14:textId="48A96960" w:rsidR="00612805" w:rsidRDefault="00612805" w:rsidP="00A04605">
      <w:pPr>
        <w:jc w:val="both"/>
        <w:rPr>
          <w:lang w:val="lv-LV"/>
        </w:rPr>
      </w:pPr>
    </w:p>
    <w:p w14:paraId="263C5B1F" w14:textId="74808688" w:rsidR="00612805" w:rsidRDefault="00612805" w:rsidP="00A04605">
      <w:pPr>
        <w:jc w:val="both"/>
        <w:rPr>
          <w:lang w:val="lv-LV"/>
        </w:rPr>
      </w:pPr>
    </w:p>
    <w:p w14:paraId="7A713834" w14:textId="6486177A" w:rsidR="00612805" w:rsidRDefault="00612805" w:rsidP="00A04605">
      <w:pPr>
        <w:jc w:val="both"/>
        <w:rPr>
          <w:lang w:val="lv-LV"/>
        </w:rPr>
      </w:pPr>
    </w:p>
    <w:p w14:paraId="25CA1BA4" w14:textId="77777777" w:rsidR="00612805" w:rsidRDefault="00612805" w:rsidP="00A04605">
      <w:pPr>
        <w:jc w:val="both"/>
        <w:rPr>
          <w:lang w:val="lv-LV"/>
        </w:rPr>
      </w:pPr>
      <w:bookmarkStart w:id="2" w:name="_GoBack"/>
      <w:bookmarkEnd w:id="2"/>
    </w:p>
    <w:p w14:paraId="7AC7C526" w14:textId="77777777" w:rsidR="00A04605" w:rsidRDefault="00A04605" w:rsidP="00A04605">
      <w:pPr>
        <w:pStyle w:val="Standard"/>
        <w:rPr>
          <w:lang w:val="lv-LV"/>
        </w:rPr>
      </w:pPr>
      <w:r>
        <w:rPr>
          <w:lang w:val="lv-LV"/>
        </w:rPr>
        <w:t>Ar cieņu</w:t>
      </w:r>
    </w:p>
    <w:p w14:paraId="5CE348C6" w14:textId="03F51888" w:rsidR="00A04605" w:rsidRDefault="00A04605" w:rsidP="00A04605">
      <w:pPr>
        <w:pStyle w:val="Standard"/>
        <w:rPr>
          <w:lang w:val="lv-LV"/>
        </w:rPr>
      </w:pPr>
      <w:r>
        <w:rPr>
          <w:lang w:val="lv-LV"/>
        </w:rPr>
        <w:t xml:space="preserve">Iepirkuma komisijas priekšsēdētāja                                                           </w:t>
      </w:r>
      <w:r>
        <w:rPr>
          <w:lang w:val="lv-LV"/>
        </w:rPr>
        <w:tab/>
      </w:r>
    </w:p>
    <w:p w14:paraId="166BCB71" w14:textId="77777777" w:rsidR="00A04605" w:rsidRDefault="00A04605" w:rsidP="00A04605">
      <w:pPr>
        <w:pStyle w:val="Standard"/>
        <w:rPr>
          <w:sz w:val="16"/>
          <w:szCs w:val="16"/>
          <w:lang w:val="lv-LV"/>
        </w:rPr>
      </w:pPr>
    </w:p>
    <w:p w14:paraId="40687D07" w14:textId="458EF376" w:rsidR="00A04605" w:rsidRDefault="00A04605" w:rsidP="00A04605">
      <w:pPr>
        <w:pStyle w:val="Standard"/>
        <w:rPr>
          <w:sz w:val="16"/>
          <w:szCs w:val="16"/>
          <w:lang w:val="lv-LV"/>
        </w:rPr>
      </w:pPr>
    </w:p>
    <w:p w14:paraId="181ED3E8" w14:textId="71B41D2E" w:rsidR="00E1164B" w:rsidRDefault="00E1164B" w:rsidP="00A04605">
      <w:pPr>
        <w:pStyle w:val="Standard"/>
        <w:rPr>
          <w:sz w:val="16"/>
          <w:szCs w:val="16"/>
          <w:lang w:val="lv-LV"/>
        </w:rPr>
      </w:pPr>
    </w:p>
    <w:p w14:paraId="1BD347B7" w14:textId="1372E9FC" w:rsidR="00E1164B" w:rsidRDefault="00E1164B" w:rsidP="00A04605">
      <w:pPr>
        <w:pStyle w:val="Standard"/>
        <w:rPr>
          <w:sz w:val="16"/>
          <w:szCs w:val="16"/>
          <w:lang w:val="lv-LV"/>
        </w:rPr>
      </w:pPr>
    </w:p>
    <w:p w14:paraId="422600BF" w14:textId="46F77C86" w:rsidR="00E1164B" w:rsidRDefault="00E1164B" w:rsidP="00A04605">
      <w:pPr>
        <w:pStyle w:val="Standard"/>
        <w:rPr>
          <w:sz w:val="16"/>
          <w:szCs w:val="16"/>
          <w:lang w:val="lv-LV"/>
        </w:rPr>
      </w:pPr>
    </w:p>
    <w:p w14:paraId="585D7D85" w14:textId="77777777" w:rsidR="00E1164B" w:rsidRDefault="00E1164B" w:rsidP="00A04605">
      <w:pPr>
        <w:pStyle w:val="Standard"/>
        <w:rPr>
          <w:sz w:val="16"/>
          <w:szCs w:val="16"/>
          <w:lang w:val="lv-LV"/>
        </w:rPr>
      </w:pPr>
    </w:p>
    <w:sectPr w:rsidR="00E1164B" w:rsidSect="00594213">
      <w:pgSz w:w="15840" w:h="12240" w:orient="landscape"/>
      <w:pgMar w:top="851" w:right="1135" w:bottom="1325"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7CF52" w14:textId="77777777" w:rsidR="00C95D7B" w:rsidRDefault="00C95D7B" w:rsidP="00743A15">
      <w:r>
        <w:separator/>
      </w:r>
    </w:p>
  </w:endnote>
  <w:endnote w:type="continuationSeparator" w:id="0">
    <w:p w14:paraId="3065AED1" w14:textId="77777777" w:rsidR="00C95D7B" w:rsidRDefault="00C95D7B" w:rsidP="0074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BCDD8" w14:textId="77777777" w:rsidR="00C95D7B" w:rsidRDefault="00C95D7B" w:rsidP="00743A15">
      <w:r>
        <w:separator/>
      </w:r>
    </w:p>
  </w:footnote>
  <w:footnote w:type="continuationSeparator" w:id="0">
    <w:p w14:paraId="191E4518" w14:textId="77777777" w:rsidR="00C95D7B" w:rsidRDefault="00C95D7B" w:rsidP="0074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B2D"/>
    <w:multiLevelType w:val="hybridMultilevel"/>
    <w:tmpl w:val="854C165E"/>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16E87C15"/>
    <w:multiLevelType w:val="hybridMultilevel"/>
    <w:tmpl w:val="9D649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B6009"/>
    <w:multiLevelType w:val="hybridMultilevel"/>
    <w:tmpl w:val="BA46AE32"/>
    <w:lvl w:ilvl="0" w:tplc="AD0C1CF2">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65D47"/>
    <w:multiLevelType w:val="hybridMultilevel"/>
    <w:tmpl w:val="FC1C43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7116B9A"/>
    <w:multiLevelType w:val="multilevel"/>
    <w:tmpl w:val="8B2A4CA8"/>
    <w:lvl w:ilvl="0">
      <w:start w:val="5"/>
      <w:numFmt w:val="decimal"/>
      <w:lvlText w:val="%1."/>
      <w:lvlJc w:val="left"/>
      <w:pPr>
        <w:ind w:left="360" w:hanging="360"/>
      </w:pPr>
      <w:rPr>
        <w:rFonts w:ascii="Times New Roman" w:hAnsi="Times New Roman" w:cs="Times New Roman"/>
        <w:b/>
        <w:sz w:val="24"/>
        <w:szCs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72D94F74"/>
    <w:multiLevelType w:val="hybridMultilevel"/>
    <w:tmpl w:val="923EC164"/>
    <w:lvl w:ilvl="0" w:tplc="E8246574">
      <w:start w:val="2"/>
      <w:numFmt w:val="decimal"/>
      <w:lvlText w:val="%1."/>
      <w:lvlJc w:val="left"/>
      <w:pPr>
        <w:ind w:left="537" w:hanging="360"/>
      </w:pPr>
      <w:rPr>
        <w:rFonts w:hint="default"/>
        <w:sz w:val="22"/>
      </w:rPr>
    </w:lvl>
    <w:lvl w:ilvl="1" w:tplc="04260019" w:tentative="1">
      <w:start w:val="1"/>
      <w:numFmt w:val="lowerLetter"/>
      <w:lvlText w:val="%2."/>
      <w:lvlJc w:val="left"/>
      <w:pPr>
        <w:ind w:left="1257" w:hanging="360"/>
      </w:pPr>
    </w:lvl>
    <w:lvl w:ilvl="2" w:tplc="0426001B" w:tentative="1">
      <w:start w:val="1"/>
      <w:numFmt w:val="lowerRoman"/>
      <w:lvlText w:val="%3."/>
      <w:lvlJc w:val="right"/>
      <w:pPr>
        <w:ind w:left="1977" w:hanging="180"/>
      </w:pPr>
    </w:lvl>
    <w:lvl w:ilvl="3" w:tplc="0426000F" w:tentative="1">
      <w:start w:val="1"/>
      <w:numFmt w:val="decimal"/>
      <w:lvlText w:val="%4."/>
      <w:lvlJc w:val="left"/>
      <w:pPr>
        <w:ind w:left="2697" w:hanging="360"/>
      </w:pPr>
    </w:lvl>
    <w:lvl w:ilvl="4" w:tplc="04260019" w:tentative="1">
      <w:start w:val="1"/>
      <w:numFmt w:val="lowerLetter"/>
      <w:lvlText w:val="%5."/>
      <w:lvlJc w:val="left"/>
      <w:pPr>
        <w:ind w:left="3417" w:hanging="360"/>
      </w:pPr>
    </w:lvl>
    <w:lvl w:ilvl="5" w:tplc="0426001B" w:tentative="1">
      <w:start w:val="1"/>
      <w:numFmt w:val="lowerRoman"/>
      <w:lvlText w:val="%6."/>
      <w:lvlJc w:val="right"/>
      <w:pPr>
        <w:ind w:left="4137" w:hanging="180"/>
      </w:pPr>
    </w:lvl>
    <w:lvl w:ilvl="6" w:tplc="0426000F" w:tentative="1">
      <w:start w:val="1"/>
      <w:numFmt w:val="decimal"/>
      <w:lvlText w:val="%7."/>
      <w:lvlJc w:val="left"/>
      <w:pPr>
        <w:ind w:left="4857" w:hanging="360"/>
      </w:pPr>
    </w:lvl>
    <w:lvl w:ilvl="7" w:tplc="04260019" w:tentative="1">
      <w:start w:val="1"/>
      <w:numFmt w:val="lowerLetter"/>
      <w:lvlText w:val="%8."/>
      <w:lvlJc w:val="left"/>
      <w:pPr>
        <w:ind w:left="5577" w:hanging="360"/>
      </w:pPr>
    </w:lvl>
    <w:lvl w:ilvl="8" w:tplc="0426001B" w:tentative="1">
      <w:start w:val="1"/>
      <w:numFmt w:val="lowerRoman"/>
      <w:lvlText w:val="%9."/>
      <w:lvlJc w:val="right"/>
      <w:pPr>
        <w:ind w:left="6297"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342"/>
    <w:rsid w:val="00020ED5"/>
    <w:rsid w:val="00034158"/>
    <w:rsid w:val="0003679F"/>
    <w:rsid w:val="00037BE8"/>
    <w:rsid w:val="00037CBF"/>
    <w:rsid w:val="00045E67"/>
    <w:rsid w:val="00046F6C"/>
    <w:rsid w:val="0004785C"/>
    <w:rsid w:val="00047B5F"/>
    <w:rsid w:val="00052F13"/>
    <w:rsid w:val="00056BC8"/>
    <w:rsid w:val="0006336E"/>
    <w:rsid w:val="00080D0B"/>
    <w:rsid w:val="00093E70"/>
    <w:rsid w:val="000A25CC"/>
    <w:rsid w:val="000D0304"/>
    <w:rsid w:val="000D0ABA"/>
    <w:rsid w:val="000F030B"/>
    <w:rsid w:val="00103BB7"/>
    <w:rsid w:val="00106A8F"/>
    <w:rsid w:val="001100FF"/>
    <w:rsid w:val="00122F1B"/>
    <w:rsid w:val="0013143B"/>
    <w:rsid w:val="00145A38"/>
    <w:rsid w:val="00174091"/>
    <w:rsid w:val="00176422"/>
    <w:rsid w:val="001929AC"/>
    <w:rsid w:val="001963C0"/>
    <w:rsid w:val="00197360"/>
    <w:rsid w:val="001B235C"/>
    <w:rsid w:val="001B564C"/>
    <w:rsid w:val="001C1A81"/>
    <w:rsid w:val="001C2897"/>
    <w:rsid w:val="001C5F6B"/>
    <w:rsid w:val="001D5EBF"/>
    <w:rsid w:val="001D7119"/>
    <w:rsid w:val="001F1F19"/>
    <w:rsid w:val="002124DB"/>
    <w:rsid w:val="00213A01"/>
    <w:rsid w:val="00216A24"/>
    <w:rsid w:val="0022119B"/>
    <w:rsid w:val="002212EE"/>
    <w:rsid w:val="00223643"/>
    <w:rsid w:val="00231CA4"/>
    <w:rsid w:val="0023489D"/>
    <w:rsid w:val="00236033"/>
    <w:rsid w:val="00256AB1"/>
    <w:rsid w:val="00260620"/>
    <w:rsid w:val="00261095"/>
    <w:rsid w:val="00262693"/>
    <w:rsid w:val="002720E3"/>
    <w:rsid w:val="00272469"/>
    <w:rsid w:val="00277D20"/>
    <w:rsid w:val="0029285F"/>
    <w:rsid w:val="0029502B"/>
    <w:rsid w:val="002A5CCD"/>
    <w:rsid w:val="002A666A"/>
    <w:rsid w:val="002B23F6"/>
    <w:rsid w:val="002B47E2"/>
    <w:rsid w:val="002C326D"/>
    <w:rsid w:val="002C6B64"/>
    <w:rsid w:val="002E1140"/>
    <w:rsid w:val="002E3CC8"/>
    <w:rsid w:val="002E56A7"/>
    <w:rsid w:val="002E5E10"/>
    <w:rsid w:val="002F2427"/>
    <w:rsid w:val="002F3EDE"/>
    <w:rsid w:val="002F43D2"/>
    <w:rsid w:val="003042CF"/>
    <w:rsid w:val="0031282F"/>
    <w:rsid w:val="00312D01"/>
    <w:rsid w:val="0031318C"/>
    <w:rsid w:val="00323621"/>
    <w:rsid w:val="00327C40"/>
    <w:rsid w:val="00351C96"/>
    <w:rsid w:val="00352006"/>
    <w:rsid w:val="003533A6"/>
    <w:rsid w:val="00357EC4"/>
    <w:rsid w:val="00366080"/>
    <w:rsid w:val="00383767"/>
    <w:rsid w:val="003837D8"/>
    <w:rsid w:val="00383D43"/>
    <w:rsid w:val="00383DB6"/>
    <w:rsid w:val="00390009"/>
    <w:rsid w:val="0039080B"/>
    <w:rsid w:val="003B060B"/>
    <w:rsid w:val="003B1166"/>
    <w:rsid w:val="003C1BEE"/>
    <w:rsid w:val="003C5EF0"/>
    <w:rsid w:val="003D7304"/>
    <w:rsid w:val="003E0E00"/>
    <w:rsid w:val="003F014C"/>
    <w:rsid w:val="003F2482"/>
    <w:rsid w:val="003F2CF2"/>
    <w:rsid w:val="0040088A"/>
    <w:rsid w:val="00401410"/>
    <w:rsid w:val="00410F27"/>
    <w:rsid w:val="0042105A"/>
    <w:rsid w:val="00421B66"/>
    <w:rsid w:val="00422333"/>
    <w:rsid w:val="00425497"/>
    <w:rsid w:val="00431ABC"/>
    <w:rsid w:val="00435405"/>
    <w:rsid w:val="0044750F"/>
    <w:rsid w:val="00456E0D"/>
    <w:rsid w:val="004627F2"/>
    <w:rsid w:val="0046401E"/>
    <w:rsid w:val="00477BAC"/>
    <w:rsid w:val="00483E9F"/>
    <w:rsid w:val="00484686"/>
    <w:rsid w:val="00485852"/>
    <w:rsid w:val="0049644E"/>
    <w:rsid w:val="00496ECB"/>
    <w:rsid w:val="00497DEB"/>
    <w:rsid w:val="004A7E9B"/>
    <w:rsid w:val="004B483F"/>
    <w:rsid w:val="004C52CD"/>
    <w:rsid w:val="004C7B5F"/>
    <w:rsid w:val="004D1AD5"/>
    <w:rsid w:val="004D614C"/>
    <w:rsid w:val="004E4016"/>
    <w:rsid w:val="004E49C1"/>
    <w:rsid w:val="004E5CB7"/>
    <w:rsid w:val="004E618B"/>
    <w:rsid w:val="004F4EAA"/>
    <w:rsid w:val="004F6B26"/>
    <w:rsid w:val="00503E18"/>
    <w:rsid w:val="005135D6"/>
    <w:rsid w:val="005141C7"/>
    <w:rsid w:val="00515D5F"/>
    <w:rsid w:val="00520AAE"/>
    <w:rsid w:val="00541115"/>
    <w:rsid w:val="0054343E"/>
    <w:rsid w:val="00546F7A"/>
    <w:rsid w:val="005743F9"/>
    <w:rsid w:val="0057503C"/>
    <w:rsid w:val="005850F1"/>
    <w:rsid w:val="00585411"/>
    <w:rsid w:val="00594213"/>
    <w:rsid w:val="0059432F"/>
    <w:rsid w:val="005A2CC1"/>
    <w:rsid w:val="005B0648"/>
    <w:rsid w:val="005B4B4D"/>
    <w:rsid w:val="005B5F86"/>
    <w:rsid w:val="005C20C6"/>
    <w:rsid w:val="005C3B12"/>
    <w:rsid w:val="005D7115"/>
    <w:rsid w:val="005E0125"/>
    <w:rsid w:val="005F20E2"/>
    <w:rsid w:val="005F47DC"/>
    <w:rsid w:val="005F4F12"/>
    <w:rsid w:val="006058DE"/>
    <w:rsid w:val="00612805"/>
    <w:rsid w:val="00617AFE"/>
    <w:rsid w:val="00622E08"/>
    <w:rsid w:val="006323D2"/>
    <w:rsid w:val="00633C06"/>
    <w:rsid w:val="006460F0"/>
    <w:rsid w:val="00647566"/>
    <w:rsid w:val="0065663F"/>
    <w:rsid w:val="006617A1"/>
    <w:rsid w:val="00666714"/>
    <w:rsid w:val="006706E4"/>
    <w:rsid w:val="006717FC"/>
    <w:rsid w:val="0067279B"/>
    <w:rsid w:val="006803F6"/>
    <w:rsid w:val="00681A32"/>
    <w:rsid w:val="00682821"/>
    <w:rsid w:val="00690955"/>
    <w:rsid w:val="006A0362"/>
    <w:rsid w:val="006A4A7C"/>
    <w:rsid w:val="006B3BE0"/>
    <w:rsid w:val="006B6465"/>
    <w:rsid w:val="006C1D11"/>
    <w:rsid w:val="006D2289"/>
    <w:rsid w:val="006E6014"/>
    <w:rsid w:val="006F0134"/>
    <w:rsid w:val="006F6E84"/>
    <w:rsid w:val="0070466A"/>
    <w:rsid w:val="007050CA"/>
    <w:rsid w:val="007169FE"/>
    <w:rsid w:val="00742D43"/>
    <w:rsid w:val="00743A15"/>
    <w:rsid w:val="007657FE"/>
    <w:rsid w:val="00770219"/>
    <w:rsid w:val="007718BC"/>
    <w:rsid w:val="00771BF8"/>
    <w:rsid w:val="00780601"/>
    <w:rsid w:val="00797B53"/>
    <w:rsid w:val="007A11B8"/>
    <w:rsid w:val="007C311E"/>
    <w:rsid w:val="007C46AB"/>
    <w:rsid w:val="007C492D"/>
    <w:rsid w:val="007C6155"/>
    <w:rsid w:val="007C66A1"/>
    <w:rsid w:val="007D50E4"/>
    <w:rsid w:val="007E3E9A"/>
    <w:rsid w:val="00800101"/>
    <w:rsid w:val="008022BB"/>
    <w:rsid w:val="00803EFF"/>
    <w:rsid w:val="00810A42"/>
    <w:rsid w:val="0081186C"/>
    <w:rsid w:val="00815B17"/>
    <w:rsid w:val="00827D63"/>
    <w:rsid w:val="008313A5"/>
    <w:rsid w:val="00834507"/>
    <w:rsid w:val="00860D08"/>
    <w:rsid w:val="00865592"/>
    <w:rsid w:val="00870AD3"/>
    <w:rsid w:val="00874959"/>
    <w:rsid w:val="00890321"/>
    <w:rsid w:val="008C404F"/>
    <w:rsid w:val="008C49D2"/>
    <w:rsid w:val="008C4ED0"/>
    <w:rsid w:val="008D0444"/>
    <w:rsid w:val="008D1DA4"/>
    <w:rsid w:val="008D22C7"/>
    <w:rsid w:val="008E1446"/>
    <w:rsid w:val="009006F0"/>
    <w:rsid w:val="0090189E"/>
    <w:rsid w:val="00904081"/>
    <w:rsid w:val="00905A44"/>
    <w:rsid w:val="00911F1F"/>
    <w:rsid w:val="00916B35"/>
    <w:rsid w:val="009279B1"/>
    <w:rsid w:val="009328FC"/>
    <w:rsid w:val="009405BA"/>
    <w:rsid w:val="00946363"/>
    <w:rsid w:val="009634AF"/>
    <w:rsid w:val="00970687"/>
    <w:rsid w:val="009712EE"/>
    <w:rsid w:val="00972E66"/>
    <w:rsid w:val="00973BB4"/>
    <w:rsid w:val="00977176"/>
    <w:rsid w:val="00990C50"/>
    <w:rsid w:val="00992210"/>
    <w:rsid w:val="00993B57"/>
    <w:rsid w:val="00995AA2"/>
    <w:rsid w:val="00997C0E"/>
    <w:rsid w:val="009B2A8B"/>
    <w:rsid w:val="009B39A2"/>
    <w:rsid w:val="009C3FCB"/>
    <w:rsid w:val="009C7152"/>
    <w:rsid w:val="009D14E8"/>
    <w:rsid w:val="009D2B17"/>
    <w:rsid w:val="009D5863"/>
    <w:rsid w:val="009D5F51"/>
    <w:rsid w:val="009E2A95"/>
    <w:rsid w:val="009F11C3"/>
    <w:rsid w:val="009F7AA3"/>
    <w:rsid w:val="00A0389C"/>
    <w:rsid w:val="00A04605"/>
    <w:rsid w:val="00A17C8E"/>
    <w:rsid w:val="00A21DE4"/>
    <w:rsid w:val="00A237E8"/>
    <w:rsid w:val="00A23F6C"/>
    <w:rsid w:val="00A43BD1"/>
    <w:rsid w:val="00A46BA8"/>
    <w:rsid w:val="00A51AA0"/>
    <w:rsid w:val="00A52F5E"/>
    <w:rsid w:val="00A630B2"/>
    <w:rsid w:val="00A64CF1"/>
    <w:rsid w:val="00A65035"/>
    <w:rsid w:val="00A6590C"/>
    <w:rsid w:val="00A66ADB"/>
    <w:rsid w:val="00A67DE8"/>
    <w:rsid w:val="00A84A24"/>
    <w:rsid w:val="00A877B6"/>
    <w:rsid w:val="00A94D40"/>
    <w:rsid w:val="00A96B8B"/>
    <w:rsid w:val="00AA76FE"/>
    <w:rsid w:val="00AB2230"/>
    <w:rsid w:val="00AC0A7C"/>
    <w:rsid w:val="00AC43DC"/>
    <w:rsid w:val="00AC6915"/>
    <w:rsid w:val="00AD252B"/>
    <w:rsid w:val="00AF688D"/>
    <w:rsid w:val="00AF703D"/>
    <w:rsid w:val="00B05737"/>
    <w:rsid w:val="00B1027A"/>
    <w:rsid w:val="00B22A04"/>
    <w:rsid w:val="00B25B57"/>
    <w:rsid w:val="00B31AA2"/>
    <w:rsid w:val="00B37196"/>
    <w:rsid w:val="00B40F45"/>
    <w:rsid w:val="00B459BA"/>
    <w:rsid w:val="00B516C3"/>
    <w:rsid w:val="00B55E97"/>
    <w:rsid w:val="00B601BA"/>
    <w:rsid w:val="00B7465E"/>
    <w:rsid w:val="00B747E5"/>
    <w:rsid w:val="00B80469"/>
    <w:rsid w:val="00B8704D"/>
    <w:rsid w:val="00B87E74"/>
    <w:rsid w:val="00BB09E9"/>
    <w:rsid w:val="00BB40CD"/>
    <w:rsid w:val="00BD198F"/>
    <w:rsid w:val="00BD2C88"/>
    <w:rsid w:val="00BD3C62"/>
    <w:rsid w:val="00BD789C"/>
    <w:rsid w:val="00BE7132"/>
    <w:rsid w:val="00BF11E6"/>
    <w:rsid w:val="00BF229A"/>
    <w:rsid w:val="00BF3F52"/>
    <w:rsid w:val="00C01D16"/>
    <w:rsid w:val="00C107C7"/>
    <w:rsid w:val="00C12523"/>
    <w:rsid w:val="00C24C67"/>
    <w:rsid w:val="00C317B1"/>
    <w:rsid w:val="00C31C67"/>
    <w:rsid w:val="00C511C8"/>
    <w:rsid w:val="00C52A09"/>
    <w:rsid w:val="00C559B8"/>
    <w:rsid w:val="00C66A53"/>
    <w:rsid w:val="00C706B1"/>
    <w:rsid w:val="00C72097"/>
    <w:rsid w:val="00C821E0"/>
    <w:rsid w:val="00C8721D"/>
    <w:rsid w:val="00C92CEB"/>
    <w:rsid w:val="00C95D7B"/>
    <w:rsid w:val="00CB5595"/>
    <w:rsid w:val="00CC0CB5"/>
    <w:rsid w:val="00CC3A1E"/>
    <w:rsid w:val="00CD3A94"/>
    <w:rsid w:val="00CD52A2"/>
    <w:rsid w:val="00CE0111"/>
    <w:rsid w:val="00CE0255"/>
    <w:rsid w:val="00CE5208"/>
    <w:rsid w:val="00D014BC"/>
    <w:rsid w:val="00D0495E"/>
    <w:rsid w:val="00D05F4F"/>
    <w:rsid w:val="00D10EBF"/>
    <w:rsid w:val="00D17339"/>
    <w:rsid w:val="00D22249"/>
    <w:rsid w:val="00D24BDD"/>
    <w:rsid w:val="00D3220E"/>
    <w:rsid w:val="00D331BD"/>
    <w:rsid w:val="00D3579E"/>
    <w:rsid w:val="00D35B81"/>
    <w:rsid w:val="00D370D8"/>
    <w:rsid w:val="00D51A5C"/>
    <w:rsid w:val="00D63C80"/>
    <w:rsid w:val="00D63CC2"/>
    <w:rsid w:val="00D65A56"/>
    <w:rsid w:val="00D71EAF"/>
    <w:rsid w:val="00D7649D"/>
    <w:rsid w:val="00D77992"/>
    <w:rsid w:val="00D82C67"/>
    <w:rsid w:val="00D93479"/>
    <w:rsid w:val="00D93849"/>
    <w:rsid w:val="00D94AF1"/>
    <w:rsid w:val="00D96089"/>
    <w:rsid w:val="00DA1C90"/>
    <w:rsid w:val="00DB0441"/>
    <w:rsid w:val="00DB4CD3"/>
    <w:rsid w:val="00DC4D5A"/>
    <w:rsid w:val="00DD4F9F"/>
    <w:rsid w:val="00DE490D"/>
    <w:rsid w:val="00DF535D"/>
    <w:rsid w:val="00E00EA5"/>
    <w:rsid w:val="00E01B85"/>
    <w:rsid w:val="00E0226E"/>
    <w:rsid w:val="00E06225"/>
    <w:rsid w:val="00E1164B"/>
    <w:rsid w:val="00E14B73"/>
    <w:rsid w:val="00E23B49"/>
    <w:rsid w:val="00E2498E"/>
    <w:rsid w:val="00E31124"/>
    <w:rsid w:val="00E3114E"/>
    <w:rsid w:val="00E4051A"/>
    <w:rsid w:val="00E409BE"/>
    <w:rsid w:val="00E4358A"/>
    <w:rsid w:val="00E43F32"/>
    <w:rsid w:val="00E508DF"/>
    <w:rsid w:val="00E54BCC"/>
    <w:rsid w:val="00E64309"/>
    <w:rsid w:val="00E70F05"/>
    <w:rsid w:val="00E75326"/>
    <w:rsid w:val="00E91316"/>
    <w:rsid w:val="00E91342"/>
    <w:rsid w:val="00EA2CE2"/>
    <w:rsid w:val="00EB26EF"/>
    <w:rsid w:val="00EB3237"/>
    <w:rsid w:val="00EB5E7D"/>
    <w:rsid w:val="00EB7641"/>
    <w:rsid w:val="00EB772E"/>
    <w:rsid w:val="00EE5E38"/>
    <w:rsid w:val="00F04D09"/>
    <w:rsid w:val="00F04FE2"/>
    <w:rsid w:val="00F11B03"/>
    <w:rsid w:val="00F125C3"/>
    <w:rsid w:val="00F25584"/>
    <w:rsid w:val="00F35ADB"/>
    <w:rsid w:val="00F366E0"/>
    <w:rsid w:val="00F3681B"/>
    <w:rsid w:val="00F52690"/>
    <w:rsid w:val="00F527AD"/>
    <w:rsid w:val="00F53E7E"/>
    <w:rsid w:val="00F55E72"/>
    <w:rsid w:val="00F656A1"/>
    <w:rsid w:val="00F73C5D"/>
    <w:rsid w:val="00F77EE1"/>
    <w:rsid w:val="00F929C5"/>
    <w:rsid w:val="00FB03FB"/>
    <w:rsid w:val="00FB1C1B"/>
    <w:rsid w:val="00FB291F"/>
    <w:rsid w:val="00FB3A67"/>
    <w:rsid w:val="00FD5E74"/>
    <w:rsid w:val="00FF249B"/>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2689"/>
  <w15:chartTrackingRefBased/>
  <w15:docId w15:val="{205E99BD-6BC3-451A-936D-B79D8D46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34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91342"/>
    <w:rPr>
      <w:rFonts w:ascii="Bookman Old Style" w:hAnsi="Bookman Old Style" w:cs="Arial"/>
      <w:sz w:val="16"/>
      <w:lang w:val="lv-LV"/>
    </w:rPr>
  </w:style>
  <w:style w:type="character" w:customStyle="1" w:styleId="BodyTextChar">
    <w:name w:val="Body Text Char"/>
    <w:basedOn w:val="DefaultParagraphFont"/>
    <w:link w:val="BodyText"/>
    <w:semiHidden/>
    <w:rsid w:val="00E91342"/>
    <w:rPr>
      <w:rFonts w:ascii="Bookman Old Style" w:eastAsia="Times New Roman" w:hAnsi="Bookman Old Style" w:cs="Arial"/>
      <w:sz w:val="16"/>
      <w:szCs w:val="24"/>
      <w:lang w:val="lv-LV"/>
    </w:rPr>
  </w:style>
  <w:style w:type="paragraph" w:styleId="BodyText2">
    <w:name w:val="Body Text 2"/>
    <w:basedOn w:val="Normal"/>
    <w:link w:val="BodyText2Char"/>
    <w:semiHidden/>
    <w:rsid w:val="00E91342"/>
    <w:rPr>
      <w:rFonts w:ascii="Arial" w:hAnsi="Arial" w:cs="Arial"/>
      <w:sz w:val="22"/>
      <w:lang w:val="lv-LV"/>
    </w:rPr>
  </w:style>
  <w:style w:type="character" w:customStyle="1" w:styleId="BodyText2Char">
    <w:name w:val="Body Text 2 Char"/>
    <w:basedOn w:val="DefaultParagraphFont"/>
    <w:link w:val="BodyText2"/>
    <w:semiHidden/>
    <w:rsid w:val="00E91342"/>
    <w:rPr>
      <w:rFonts w:ascii="Arial" w:eastAsia="Times New Roman" w:hAnsi="Arial" w:cs="Arial"/>
      <w:szCs w:val="24"/>
      <w:lang w:val="lv-LV"/>
    </w:rPr>
  </w:style>
  <w:style w:type="paragraph" w:styleId="Header">
    <w:name w:val="header"/>
    <w:basedOn w:val="Normal"/>
    <w:link w:val="HeaderChar"/>
    <w:uiPriority w:val="99"/>
    <w:rsid w:val="00E91342"/>
    <w:pPr>
      <w:tabs>
        <w:tab w:val="center" w:pos="4677"/>
        <w:tab w:val="right" w:pos="9355"/>
      </w:tabs>
    </w:pPr>
  </w:style>
  <w:style w:type="character" w:customStyle="1" w:styleId="HeaderChar">
    <w:name w:val="Header Char"/>
    <w:basedOn w:val="DefaultParagraphFont"/>
    <w:link w:val="Header"/>
    <w:uiPriority w:val="99"/>
    <w:rsid w:val="00E91342"/>
    <w:rPr>
      <w:rFonts w:ascii="Times New Roman" w:eastAsia="Times New Roman" w:hAnsi="Times New Roman" w:cs="Times New Roman"/>
      <w:sz w:val="24"/>
      <w:szCs w:val="24"/>
      <w:lang w:val="en-GB"/>
    </w:rPr>
  </w:style>
  <w:style w:type="paragraph" w:customStyle="1" w:styleId="Standard">
    <w:name w:val="Standard"/>
    <w:uiPriority w:val="99"/>
    <w:rsid w:val="00E91342"/>
    <w:pPr>
      <w:suppressAutoHyphens/>
      <w:autoSpaceDN w:val="0"/>
      <w:spacing w:after="0" w:line="240" w:lineRule="auto"/>
      <w:textAlignment w:val="baseline"/>
    </w:pPr>
    <w:rPr>
      <w:rFonts w:ascii="Times New Roman" w:eastAsia="Times New Roman" w:hAnsi="Times New Roman" w:cs="Times New Roman"/>
      <w:kern w:val="3"/>
      <w:sz w:val="24"/>
      <w:szCs w:val="24"/>
      <w:lang w:val="en-GB"/>
    </w:rPr>
  </w:style>
  <w:style w:type="paragraph" w:styleId="BodyTextIndent2">
    <w:name w:val="Body Text Indent 2"/>
    <w:basedOn w:val="Normal"/>
    <w:link w:val="BodyTextIndent2Char"/>
    <w:uiPriority w:val="99"/>
    <w:semiHidden/>
    <w:unhideWhenUsed/>
    <w:rsid w:val="002A5CCD"/>
    <w:pPr>
      <w:spacing w:after="120" w:line="480" w:lineRule="auto"/>
      <w:ind w:left="283"/>
    </w:pPr>
  </w:style>
  <w:style w:type="character" w:customStyle="1" w:styleId="BodyTextIndent2Char">
    <w:name w:val="Body Text Indent 2 Char"/>
    <w:basedOn w:val="DefaultParagraphFont"/>
    <w:link w:val="BodyTextIndent2"/>
    <w:uiPriority w:val="99"/>
    <w:semiHidden/>
    <w:rsid w:val="002A5CC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A5CCD"/>
    <w:pPr>
      <w:ind w:left="720"/>
      <w:contextualSpacing/>
    </w:pPr>
    <w:rPr>
      <w:rFonts w:ascii="Arial" w:hAnsi="Arial"/>
      <w:sz w:val="20"/>
      <w:szCs w:val="20"/>
      <w:lang w:val="lv-LV"/>
    </w:rPr>
  </w:style>
  <w:style w:type="character" w:styleId="Hyperlink">
    <w:name w:val="Hyperlink"/>
    <w:uiPriority w:val="99"/>
    <w:rsid w:val="00EB7641"/>
    <w:rPr>
      <w:rFonts w:cs="Times New Roman"/>
      <w:color w:val="0000FF"/>
      <w:u w:val="single"/>
    </w:rPr>
  </w:style>
  <w:style w:type="paragraph" w:styleId="PlainText">
    <w:name w:val="Plain Text"/>
    <w:basedOn w:val="Normal"/>
    <w:link w:val="PlainTextChar"/>
    <w:uiPriority w:val="99"/>
    <w:unhideWhenUsed/>
    <w:rsid w:val="00D77992"/>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rsid w:val="00D77992"/>
    <w:rPr>
      <w:rFonts w:ascii="Calibri" w:hAnsi="Calibri"/>
      <w:szCs w:val="21"/>
      <w:lang w:val="lv-LV"/>
    </w:rPr>
  </w:style>
  <w:style w:type="paragraph" w:styleId="BalloonText">
    <w:name w:val="Balloon Text"/>
    <w:basedOn w:val="Normal"/>
    <w:link w:val="BalloonTextChar"/>
    <w:uiPriority w:val="99"/>
    <w:semiHidden/>
    <w:unhideWhenUsed/>
    <w:rsid w:val="00C52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09"/>
    <w:rPr>
      <w:rFonts w:ascii="Segoe UI" w:eastAsia="Times New Roman" w:hAnsi="Segoe UI" w:cs="Segoe UI"/>
      <w:sz w:val="18"/>
      <w:szCs w:val="18"/>
      <w:lang w:val="en-GB"/>
    </w:rPr>
  </w:style>
  <w:style w:type="character" w:customStyle="1" w:styleId="Mention1">
    <w:name w:val="Mention1"/>
    <w:basedOn w:val="DefaultParagraphFont"/>
    <w:uiPriority w:val="99"/>
    <w:semiHidden/>
    <w:unhideWhenUsed/>
    <w:rsid w:val="00DA1C90"/>
    <w:rPr>
      <w:color w:val="2B579A"/>
      <w:shd w:val="clear" w:color="auto" w:fill="E6E6E6"/>
    </w:rPr>
  </w:style>
  <w:style w:type="character" w:styleId="FollowedHyperlink">
    <w:name w:val="FollowedHyperlink"/>
    <w:basedOn w:val="DefaultParagraphFont"/>
    <w:uiPriority w:val="99"/>
    <w:semiHidden/>
    <w:unhideWhenUsed/>
    <w:rsid w:val="00DA1C90"/>
    <w:rPr>
      <w:color w:val="954F72" w:themeColor="followedHyperlink"/>
      <w:u w:val="single"/>
    </w:rPr>
  </w:style>
  <w:style w:type="paragraph" w:styleId="NormalWeb">
    <w:name w:val="Normal (Web)"/>
    <w:basedOn w:val="Normal"/>
    <w:uiPriority w:val="99"/>
    <w:unhideWhenUsed/>
    <w:rsid w:val="00BB09E9"/>
    <w:pPr>
      <w:spacing w:before="100" w:beforeAutospacing="1" w:after="100" w:afterAutospacing="1"/>
    </w:pPr>
    <w:rPr>
      <w:rFonts w:eastAsiaTheme="minorHAnsi"/>
      <w:color w:val="000000"/>
      <w:lang w:val="lv-LV" w:eastAsia="lv-LV"/>
    </w:rPr>
  </w:style>
  <w:style w:type="character" w:customStyle="1" w:styleId="UnresolvedMention1">
    <w:name w:val="Unresolved Mention1"/>
    <w:basedOn w:val="DefaultParagraphFont"/>
    <w:uiPriority w:val="99"/>
    <w:semiHidden/>
    <w:unhideWhenUsed/>
    <w:rsid w:val="00E4051A"/>
    <w:rPr>
      <w:color w:val="808080"/>
      <w:shd w:val="clear" w:color="auto" w:fill="E6E6E6"/>
    </w:rPr>
  </w:style>
  <w:style w:type="paragraph" w:customStyle="1" w:styleId="Default">
    <w:name w:val="Default"/>
    <w:rsid w:val="00A23F6C"/>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EndnoteText">
    <w:name w:val="endnote text"/>
    <w:basedOn w:val="Normal"/>
    <w:link w:val="EndnoteTextChar"/>
    <w:uiPriority w:val="99"/>
    <w:semiHidden/>
    <w:unhideWhenUsed/>
    <w:rsid w:val="00743A15"/>
    <w:rPr>
      <w:sz w:val="20"/>
      <w:szCs w:val="20"/>
    </w:rPr>
  </w:style>
  <w:style w:type="character" w:customStyle="1" w:styleId="EndnoteTextChar">
    <w:name w:val="Endnote Text Char"/>
    <w:basedOn w:val="DefaultParagraphFont"/>
    <w:link w:val="EndnoteText"/>
    <w:uiPriority w:val="99"/>
    <w:semiHidden/>
    <w:rsid w:val="00743A15"/>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743A15"/>
    <w:rPr>
      <w:vertAlign w:val="superscript"/>
    </w:rPr>
  </w:style>
  <w:style w:type="character" w:styleId="UnresolvedMention">
    <w:name w:val="Unresolved Mention"/>
    <w:basedOn w:val="DefaultParagraphFont"/>
    <w:uiPriority w:val="99"/>
    <w:semiHidden/>
    <w:unhideWhenUsed/>
    <w:rsid w:val="00CC3A1E"/>
    <w:rPr>
      <w:color w:val="605E5C"/>
      <w:shd w:val="clear" w:color="auto" w:fill="E1DFDD"/>
    </w:rPr>
  </w:style>
  <w:style w:type="table" w:styleId="TableGrid">
    <w:name w:val="Table Grid"/>
    <w:basedOn w:val="TableNormal"/>
    <w:uiPriority w:val="39"/>
    <w:rsid w:val="00366080"/>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4117">
      <w:bodyDiv w:val="1"/>
      <w:marLeft w:val="0"/>
      <w:marRight w:val="0"/>
      <w:marTop w:val="0"/>
      <w:marBottom w:val="0"/>
      <w:divBdr>
        <w:top w:val="none" w:sz="0" w:space="0" w:color="auto"/>
        <w:left w:val="none" w:sz="0" w:space="0" w:color="auto"/>
        <w:bottom w:val="none" w:sz="0" w:space="0" w:color="auto"/>
        <w:right w:val="none" w:sz="0" w:space="0" w:color="auto"/>
      </w:divBdr>
    </w:div>
    <w:div w:id="229658144">
      <w:bodyDiv w:val="1"/>
      <w:marLeft w:val="0"/>
      <w:marRight w:val="0"/>
      <w:marTop w:val="0"/>
      <w:marBottom w:val="0"/>
      <w:divBdr>
        <w:top w:val="none" w:sz="0" w:space="0" w:color="auto"/>
        <w:left w:val="none" w:sz="0" w:space="0" w:color="auto"/>
        <w:bottom w:val="none" w:sz="0" w:space="0" w:color="auto"/>
        <w:right w:val="none" w:sz="0" w:space="0" w:color="auto"/>
      </w:divBdr>
    </w:div>
    <w:div w:id="816267439">
      <w:bodyDiv w:val="1"/>
      <w:marLeft w:val="0"/>
      <w:marRight w:val="0"/>
      <w:marTop w:val="0"/>
      <w:marBottom w:val="0"/>
      <w:divBdr>
        <w:top w:val="none" w:sz="0" w:space="0" w:color="auto"/>
        <w:left w:val="none" w:sz="0" w:space="0" w:color="auto"/>
        <w:bottom w:val="none" w:sz="0" w:space="0" w:color="auto"/>
        <w:right w:val="none" w:sz="0" w:space="0" w:color="auto"/>
      </w:divBdr>
    </w:div>
    <w:div w:id="836530174">
      <w:bodyDiv w:val="1"/>
      <w:marLeft w:val="0"/>
      <w:marRight w:val="0"/>
      <w:marTop w:val="0"/>
      <w:marBottom w:val="0"/>
      <w:divBdr>
        <w:top w:val="none" w:sz="0" w:space="0" w:color="auto"/>
        <w:left w:val="none" w:sz="0" w:space="0" w:color="auto"/>
        <w:bottom w:val="none" w:sz="0" w:space="0" w:color="auto"/>
        <w:right w:val="none" w:sz="0" w:space="0" w:color="auto"/>
      </w:divBdr>
    </w:div>
    <w:div w:id="981040317">
      <w:bodyDiv w:val="1"/>
      <w:marLeft w:val="0"/>
      <w:marRight w:val="0"/>
      <w:marTop w:val="0"/>
      <w:marBottom w:val="0"/>
      <w:divBdr>
        <w:top w:val="none" w:sz="0" w:space="0" w:color="auto"/>
        <w:left w:val="none" w:sz="0" w:space="0" w:color="auto"/>
        <w:bottom w:val="none" w:sz="0" w:space="0" w:color="auto"/>
        <w:right w:val="none" w:sz="0" w:space="0" w:color="auto"/>
      </w:divBdr>
    </w:div>
    <w:div w:id="1039936632">
      <w:bodyDiv w:val="1"/>
      <w:marLeft w:val="0"/>
      <w:marRight w:val="0"/>
      <w:marTop w:val="0"/>
      <w:marBottom w:val="0"/>
      <w:divBdr>
        <w:top w:val="none" w:sz="0" w:space="0" w:color="auto"/>
        <w:left w:val="none" w:sz="0" w:space="0" w:color="auto"/>
        <w:bottom w:val="none" w:sz="0" w:space="0" w:color="auto"/>
        <w:right w:val="none" w:sz="0" w:space="0" w:color="auto"/>
      </w:divBdr>
    </w:div>
    <w:div w:id="1056276172">
      <w:bodyDiv w:val="1"/>
      <w:marLeft w:val="0"/>
      <w:marRight w:val="0"/>
      <w:marTop w:val="0"/>
      <w:marBottom w:val="0"/>
      <w:divBdr>
        <w:top w:val="none" w:sz="0" w:space="0" w:color="auto"/>
        <w:left w:val="none" w:sz="0" w:space="0" w:color="auto"/>
        <w:bottom w:val="none" w:sz="0" w:space="0" w:color="auto"/>
        <w:right w:val="none" w:sz="0" w:space="0" w:color="auto"/>
      </w:divBdr>
    </w:div>
    <w:div w:id="1301615399">
      <w:bodyDiv w:val="1"/>
      <w:marLeft w:val="0"/>
      <w:marRight w:val="0"/>
      <w:marTop w:val="0"/>
      <w:marBottom w:val="0"/>
      <w:divBdr>
        <w:top w:val="none" w:sz="0" w:space="0" w:color="auto"/>
        <w:left w:val="none" w:sz="0" w:space="0" w:color="auto"/>
        <w:bottom w:val="none" w:sz="0" w:space="0" w:color="auto"/>
        <w:right w:val="none" w:sz="0" w:space="0" w:color="auto"/>
      </w:divBdr>
    </w:div>
    <w:div w:id="1476409321">
      <w:bodyDiv w:val="1"/>
      <w:marLeft w:val="0"/>
      <w:marRight w:val="0"/>
      <w:marTop w:val="0"/>
      <w:marBottom w:val="0"/>
      <w:divBdr>
        <w:top w:val="none" w:sz="0" w:space="0" w:color="auto"/>
        <w:left w:val="none" w:sz="0" w:space="0" w:color="auto"/>
        <w:bottom w:val="none" w:sz="0" w:space="0" w:color="auto"/>
        <w:right w:val="none" w:sz="0" w:space="0" w:color="auto"/>
      </w:divBdr>
    </w:div>
    <w:div w:id="21466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4</Pages>
  <Words>6792</Words>
  <Characters>3873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Kalninja</dc:creator>
  <cp:keywords/>
  <dc:description/>
  <cp:lastModifiedBy>Julija Meinerte</cp:lastModifiedBy>
  <cp:revision>187</cp:revision>
  <cp:lastPrinted>2019-04-05T11:17:00Z</cp:lastPrinted>
  <dcterms:created xsi:type="dcterms:W3CDTF">2019-03-20T09:44:00Z</dcterms:created>
  <dcterms:modified xsi:type="dcterms:W3CDTF">2019-04-05T12:31:00Z</dcterms:modified>
</cp:coreProperties>
</file>