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14" w:rsidRPr="00630125" w:rsidRDefault="00AE0F14" w:rsidP="00AE0F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val="lv-LV"/>
        </w:rPr>
      </w:pPr>
      <w:r w:rsidRPr="00630125">
        <w:rPr>
          <w:rFonts w:ascii="Times New Roman" w:eastAsia="Times New Roman" w:hAnsi="Times New Roman" w:cs="Times New Roman"/>
          <w:b/>
          <w:i/>
          <w:lang w:val="lv-LV"/>
        </w:rPr>
        <w:t>1.pielikums</w:t>
      </w:r>
    </w:p>
    <w:p w:rsidR="00AE0F14" w:rsidRPr="00630125" w:rsidRDefault="00AE0F14" w:rsidP="00AE0F1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val="lv-LV"/>
        </w:rPr>
      </w:pPr>
      <w:r w:rsidRPr="00630125">
        <w:rPr>
          <w:rFonts w:ascii="Times New Roman" w:eastAsia="Times New Roman" w:hAnsi="Times New Roman" w:cs="Times New Roman"/>
          <w:i/>
          <w:lang w:val="lv-LV"/>
        </w:rPr>
        <w:t xml:space="preserve">Atklāta konkursa nolikumam </w:t>
      </w:r>
    </w:p>
    <w:p w:rsidR="00AE0F14" w:rsidRPr="00630125" w:rsidRDefault="00AE0F14" w:rsidP="00EE0205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i/>
          <w:lang w:val="lv-LV"/>
        </w:rPr>
      </w:pPr>
      <w:r w:rsidRPr="00630125">
        <w:rPr>
          <w:rFonts w:ascii="Times New Roman" w:eastAsia="Times New Roman" w:hAnsi="Times New Roman" w:cs="Times New Roman"/>
          <w:i/>
          <w:lang w:val="lv-LV"/>
        </w:rPr>
        <w:t>“</w:t>
      </w:r>
      <w:proofErr w:type="spellStart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>Angiogrāfijas</w:t>
      </w:r>
      <w:proofErr w:type="spellEnd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 xml:space="preserve"> ierīces ar integrētu </w:t>
      </w:r>
      <w:proofErr w:type="spellStart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>intravaskulāro</w:t>
      </w:r>
      <w:proofErr w:type="spellEnd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 xml:space="preserve"> sonogrāfiju piegāde </w:t>
      </w:r>
      <w:proofErr w:type="spellStart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>angiogrāfijas</w:t>
      </w:r>
      <w:proofErr w:type="spellEnd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 xml:space="preserve"> un sirds </w:t>
      </w:r>
      <w:proofErr w:type="spellStart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>kateterizācijas</w:t>
      </w:r>
      <w:proofErr w:type="spellEnd"/>
      <w:r w:rsidR="00EE0205" w:rsidRPr="00EE0205">
        <w:rPr>
          <w:rFonts w:ascii="Times New Roman" w:hAnsi="Times New Roman" w:cs="Times New Roman"/>
          <w:i/>
          <w:color w:val="000000"/>
          <w:lang w:val="lv-LV" w:eastAsia="lv-LV"/>
        </w:rPr>
        <w:t xml:space="preserve"> laboratorijai (SAM 9.3.2.)</w:t>
      </w:r>
      <w:r w:rsidRPr="00630125">
        <w:rPr>
          <w:rFonts w:ascii="Times New Roman" w:eastAsia="Times New Roman" w:hAnsi="Times New Roman" w:cs="Times New Roman"/>
          <w:i/>
          <w:lang w:val="lv-LV"/>
        </w:rPr>
        <w:t xml:space="preserve">” </w:t>
      </w:r>
    </w:p>
    <w:p w:rsidR="00AE0F14" w:rsidRPr="00630125" w:rsidRDefault="00AE0F14" w:rsidP="00AE0F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val="lv-LV"/>
        </w:rPr>
      </w:pPr>
      <w:r w:rsidRPr="00630125">
        <w:rPr>
          <w:rFonts w:ascii="Times New Roman" w:eastAsia="Times New Roman" w:hAnsi="Times New Roman" w:cs="Times New Roman"/>
          <w:i/>
          <w:lang w:val="lv-LV"/>
        </w:rPr>
        <w:t xml:space="preserve">Iepirkuma identifikācijas </w:t>
      </w:r>
      <w:proofErr w:type="spellStart"/>
      <w:r w:rsidRPr="00630125">
        <w:rPr>
          <w:rFonts w:ascii="Times New Roman" w:eastAsia="Times New Roman" w:hAnsi="Times New Roman" w:cs="Times New Roman"/>
          <w:i/>
          <w:lang w:val="lv-LV"/>
        </w:rPr>
        <w:t>Nr.</w:t>
      </w:r>
      <w:r w:rsidR="00EE0205">
        <w:rPr>
          <w:rFonts w:ascii="Times New Roman" w:eastAsia="Times New Roman" w:hAnsi="Times New Roman" w:cs="Times New Roman"/>
          <w:i/>
          <w:lang w:val="lv-LV"/>
        </w:rPr>
        <w:t>DPD</w:t>
      </w:r>
      <w:proofErr w:type="spellEnd"/>
      <w:r w:rsidR="00EE0205">
        <w:rPr>
          <w:rFonts w:ascii="Times New Roman" w:eastAsia="Times New Roman" w:hAnsi="Times New Roman" w:cs="Times New Roman"/>
          <w:i/>
          <w:lang w:val="lv-LV"/>
        </w:rPr>
        <w:t xml:space="preserve"> 2018/21</w:t>
      </w:r>
    </w:p>
    <w:p w:rsidR="00AE0F14" w:rsidRPr="00AE0F14" w:rsidRDefault="00AE0F14" w:rsidP="00AE0F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:rsidR="005D0481" w:rsidRDefault="005D0481" w:rsidP="00AE0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:rsidR="00AE0F14" w:rsidRPr="00AE0F14" w:rsidRDefault="00AE0F14" w:rsidP="00AE0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E0F1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TEHNISKĀ SPECIFIKĀCIJA</w:t>
      </w:r>
    </w:p>
    <w:p w:rsidR="005D0481" w:rsidRDefault="005D0481" w:rsidP="00AE0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lv-LV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60"/>
        <w:gridCol w:w="8391"/>
      </w:tblGrid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>Nr. P.k.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  <w:t xml:space="preserve">Tehniskās prasības: </w:t>
            </w:r>
          </w:p>
        </w:tc>
      </w:tr>
      <w:tr w:rsidR="00201BC7" w:rsidRPr="00201BC7" w:rsidTr="007D4B84">
        <w:trPr>
          <w:trHeight w:val="227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C7" w:rsidRPr="00201BC7" w:rsidRDefault="00201BC7" w:rsidP="001A7D4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lang w:val="lv-LV" w:eastAsia="lv-LV"/>
              </w:rPr>
            </w:pPr>
            <w:r w:rsidRPr="00201BC7">
              <w:rPr>
                <w:b/>
                <w:u w:val="single"/>
                <w:lang w:val="lv-LV"/>
              </w:rPr>
              <w:t>Ierīcei uz piegādes brīdi jābūt jaunai un nelietotai, izlaides gads ne agrāk kā 2018.g.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Arka ar grīdas stiprinājumu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motorizētas LAO/ RAO rotācijas diapazons, tai atrodoties galda gala pozīcijā, vismaz  +/- 120°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rotācijas ātrums vismaz 25º/s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C-arkas motorizēts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angulācijas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diapazons,</w:t>
            </w:r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 tai atrodoties galda gala pozīcijā kraniāli/</w:t>
            </w:r>
            <w:proofErr w:type="spellStart"/>
            <w:r w:rsidRPr="00A35838">
              <w:rPr>
                <w:rFonts w:ascii="Times New Roman" w:hAnsi="Times New Roman" w:cs="Times New Roman"/>
                <w:lang w:val="lv-LV" w:eastAsia="lv-LV"/>
              </w:rPr>
              <w:t>kaudāli</w:t>
            </w:r>
            <w:proofErr w:type="spellEnd"/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, vismaz 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+/-45°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C-arkas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angulācijas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ātrums vismaz 15°/s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SID maiņas diapazons, vismaz 90 - 120 cm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Pacienta aizsardzības sistēma, kas piemērojas katra pacienta lielumam un nodrošina detektora kustības bloķēšanu jebkurā vietā pirms saskares ar šķērsli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C-arkas dziļums, vismaz 105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Pacienta galds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garums vismaz 300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platums vismaz 50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virsmas rentgena staru absorbcijas koeficients pie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, ne vairāk 1.4  mm Al.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augstuma maiņa diapazonā vismaz  75 -100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augstuma maiņas ātrums vismaz 30 mm/s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garenvirziena kustība vismaz 120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laterālā kustība vismaz 35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rotācija diapazonā vismaz -90°/+180°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Maksimālais pacienta svars vismaz 250 kg, papildus vismaz 500 N slodze KPR veikšanai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2.10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sagāšana garenvirzienā vismaz +-15° grādi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Augstfrekvences rentgena ģenerators un rentgena spuldze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Ar mikroprocesoru vadīts augstfrekvences ģenerators ar nominālo jaudu vismaz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kW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diapazons 40 – 125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Maksimālā strāva pie 100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1000mA 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Maksimālā nepārtrauktā jauda, vismaz 2500 W, vismaz 15 min 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Režģa pārslēgšanas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gridswiched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) pulsējošā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fluoroskopija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Anoda siltumietilpība, vismaz 5  MHU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Spuldzes moduļa kopējā siltumietilpība, vismaz 7,0 MHU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Anoda dzesēšanas ātrums, vismaz 1500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kHU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/min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401D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Anoda dzesēšana ar eļļu vai citu šķidrumu ar termālo drošības slēdzi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3.10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Fluoroskopijas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jauda 10 min vismaz 4500 W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3.11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Spuldzes filtrācija vismaz 3 dažādi filtri diapazonā no 0,2 -1,0 mm vara ekvivalents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4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Attēla veidošanas sistēma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Dinamiskais plakanais detektors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maksimālais skata lauks pa diagonāli, vismaz 30 cm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4.3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korpusa izmērs pa diagonāli ne vairāk kā 50 cm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4.4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bitu dziļums vismaz 16 biti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matrica vismaz 1344 x 1344 pikseļi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4.6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formātu skaits, vismaz 5; nosaukt formātus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Pikseļa izmērs detektoram, ne vairāk kā 155 mikroni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Telpiskā izšķirtspēja, vismaz 3,25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/mm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kvantu efektivitāte (DQE) vismaz 77 %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4.10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Pacientu aizsardzības mehānisms, lai pasargātu pacientu no nejaušas sadursmes ar detektoru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Monitora griestu </w:t>
            </w:r>
            <w:proofErr w:type="spellStart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piekare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Vismaz 58" collu krāsainais LCD monitors izmeklējuma telpā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matrica vismaz 3800 x 2160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Video kontrolieris dažādu video signālu komutēšanai vismaz 8 neatkarīgas video ieejas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Kontrasta attiecība, vismaz 1:4000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Maksimālais spilgtums vismaz 700 cd/m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>2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Monitora apskates leņķis vismaz 176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>0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5.7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Konstanta spilgtuma stabilizācijas kontroles sistēma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Programnodrošinājums</w:t>
            </w:r>
            <w:proofErr w:type="spellEnd"/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 xml:space="preserve"> un klīniskās aplikācijas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vizuālizācijas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programma.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smalko detaļu attēlošana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pirms un pēc ievietošanas attiecībā uz asinsvada sieniņu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attiecībā pret asinsvada sieniņu darbības laikā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Automātiska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marķieru detektēšana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Programmu ir iespējams lietot ar vai bez kontrasta injekcijas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Koronāro asinsvadu dinamiskā karte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),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Reālā laika, automātiska, kustību kompensēta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Iespēja saglabāt un attēlot iepriekš izveidotās kartes (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6.2.3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Koronārās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attēlošana uz 2D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CD043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CT izmeklējumu datu izmantošana koronāro asinsvadu 3D konstruēšanai.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Anatomiskā koronāro asinsvadu 3D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izveide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Projekciju leņķa noteikšana balstoties uz 3D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roadmap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datiem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CTO navigācija balstoties uz CT izmeklējumu datiem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C-loka automātiska pozicionēšana atbilstoši CT izmeklējuma datu projekcijai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Savietojams ar dažādu ražotāju CT sirds izmeklējumiem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sirds segmentēšana visās fāzēs izmantojot CT datus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Stenožu kalkulācija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attēlošana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Volume</w:t>
            </w:r>
            <w:proofErr w:type="spellEnd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Rendering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režīmā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funkciju izvērtēšana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6.3.10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Nepārtraukta c-loka leņķa identificēšana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3D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6.4.1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3D 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izmantojot rotējošo skanēšanu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6.4.2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asinsvadu 3D modeļa izveidošana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Divu asu koronāro asinsvadu rotējošā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6.5.1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Koronāro asinsvadu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septiņās dažādās skanēšanas trajektorijās.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Rotējošā skanēšana.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Digitālās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angiogrāfija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Reālā laika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ar ātrumu vismaz 6 attēli sekundē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funkcijas rotējošai skanēšanai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6.7.3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kustību kompensācija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6.8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Attēlu veidošana ar vismaz 60 attēliem sekundē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Starojuma devu samazināšanas un attēla uzlabošanas programma.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).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6.9.1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Trokšņu un artefaktu samazināšana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uzlabošana un  kontūru pastiprināšana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reālā laika pacienta un galda kustību kompensēšana uz attēla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6.9.4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pikseļu nobīde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Kvatitatīva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koronāro asinsvadu analīze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izvēlētā koronārā asinsvada segmentēšana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Diametra mērījums izvēlētajā segmentā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obstrukcijas analīze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Stenozes diametrs un garums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6.10.5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analīze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Kreisā kambara tilpuma mērījumi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frakcija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6.11.3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Labā kambara analīze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Labā kambara tilpuma mērījumi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frakcija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Sirds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tilpums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6.12.4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un manuāla kalibrēšana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Vadības telpas aprīkojums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monitors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Krāsainais monitors ar vismaz 24" displeju un maksimālo ekrāna spilgtumu vismaz 400 cd/m</w:t>
            </w:r>
            <w:r w:rsidRPr="00A35838">
              <w:rPr>
                <w:rFonts w:ascii="Times New Roman" w:hAnsi="Times New Roman" w:cs="Times New Roman"/>
                <w:color w:val="000000"/>
                <w:vertAlign w:val="superscript"/>
                <w:lang w:val="lv-LV" w:eastAsia="lv-LV"/>
              </w:rPr>
              <w:t xml:space="preserve">2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Pacienta reģistrēšana un izvēle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iestatījumi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7.1.4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apstrāde, kontrasts, spilgtums, palielināšana u.c.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Pārskata monitors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Krāsainais monitors ar vismaz 24" displeju un maksimālo ekrāna spilgtumu vismaz 400 cd/m2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Kvantitatīvā analīze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Subtrakcija</w:t>
            </w:r>
            <w:proofErr w:type="spellEnd"/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taimera pārslēgšana un starojuma ieslēgšana/izslēgšana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7.2.5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Paralēlā strādāšana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Integrēta darba vieta aplikācijām. Risinājuma nosaukums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Vismaz divi krāsainie monitori ar vismaz 24"displeju, vismaz 500 cd/m2 maksimālo ekrāna spilgtumu un izšķirtspēju vismaz  2560 x 1440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Automātiska spilgtuma kontrole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7.3.3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Brīvi konfigurējams ekrāna izkārtojums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Neierobežots ekrāna izkārtojumu skaits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Sistēmas video attēlošana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7.3.6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Ārējo video attēlošana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,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video signāla izvades iespējas (video </w:t>
            </w:r>
            <w:proofErr w:type="spellStart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output</w:t>
            </w:r>
            <w:proofErr w:type="spellEnd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, HDMI)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Sistēmas kontroles moduļi izmeklējuma telpā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Skārienjūtīgais kontroles modulis ar sekojošām funkcijām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iestatījumi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Attēla apstrāde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Automātiskā pozīciju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kotrole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Kvatitatīvā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analīze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8.1.5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Hemodinamikas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moduļa kontrole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8.1.6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un c-loka ģeometrijas kontrole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8.1.7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"Dzīvā" attēla un references monitora attēla attēlošana uz skārienjūtīgā kontroles moduļa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Manipulācijas ar attēliem uz skārienjūtīgā kontroles moduļa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Kolimatoru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kontole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pa tiešo uz attēla uz skārienjūtīgā kontroles moduļa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8.1.10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Attēla palielināšana un pārvietošana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laikā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Pults attēlu apskates kontrolei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un C-loka kontroles modulis ar kursorsvirām ar sekojošām funkcijām: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rotācijas slēdzis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virsmas kustība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Galda augstuma pozicionēšana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Galda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savērsuma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leņķis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SID izvēle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C-loka pozīcijas kontrole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Fluroskopijas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režīma izvēle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8.3.8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Detektora skatu lauka izvēle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Bezvadu kājas pedāļu modulis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Mitrumizrurība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vismaz IP X5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Darbības diapazons vismaz 5m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Vismaz 3 pedāļi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8.4.4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Litija jona baterija ar uzlādes indikatoru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Cs/>
                <w:lang w:val="lv-LV" w:eastAsia="lv-LV"/>
              </w:rPr>
              <w:t>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Papildus aprīkojums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Izmeklējuma lampa 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Gaismas intensitāte vismaz 50 000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Lux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Sterilizējams rokturis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galda stiprināms divdaļīgs radiācijas aizsargs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griestiem stiprināms caurspīdīgs radiācijas aizsargs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Pie galda stiprināms pacienta rokas atbalsts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Pacienta elkoņu atbalsts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Mazgājamas pacienta fiksāžas jostas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Rokturi pacienta drošībai galda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savērsuma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laikā stiprināmi pie izmeklējuma galda abās pusēs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Infūzijas statīvs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Vismaz 7 cm biezs matracis, kas pielāgojas pacienta formai un vienmērīgi izdala slodzi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DAP mērīšanas iekārta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Integrēts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hemodinamikas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modulis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9.11.1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12 novadījumu EKG, ar grafisku ST segmentu nobīdes attēlošanu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SpO2 mērījums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9.11.3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Neinvazīvā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asinsspiediena mērījums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4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invazīvo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spiedienu mērījums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Sirds </w:t>
            </w:r>
            <w:proofErr w:type="spellStart"/>
            <w:r w:rsidRPr="00A35838">
              <w:rPr>
                <w:rFonts w:ascii="Times New Roman" w:hAnsi="Times New Roman" w:cs="Times New Roman"/>
                <w:lang w:val="lv-LV" w:eastAsia="lv-LV"/>
              </w:rPr>
              <w:t>izsviedes</w:t>
            </w:r>
            <w:proofErr w:type="spellEnd"/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 mērījums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Izelpotā CO2 mērījums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9.11.7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Integrēts FFR mērījums</w:t>
            </w:r>
            <w:r>
              <w:t xml:space="preserve"> </w:t>
            </w:r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+ Integrēts </w:t>
            </w:r>
            <w:proofErr w:type="spellStart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>iFR</w:t>
            </w:r>
            <w:proofErr w:type="spellEnd"/>
            <w:r w:rsidRPr="004E6BF1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mērījums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Integrēts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intravaskulārās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ultrasoonogrāfijas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un  fizioloģijas mērījumu modulis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Intravaskulārās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ultrasonogrāfijas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attēlveidošana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izmantojot 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gan 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motorizētu </w:t>
            </w:r>
            <w:r>
              <w:rPr>
                <w:rFonts w:ascii="Times New Roman" w:hAnsi="Times New Roman" w:cs="Times New Roman"/>
                <w:color w:val="000000"/>
                <w:lang w:val="lv-LV" w:eastAsia="lv-LV"/>
              </w:rPr>
              <w:t>gan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manuālu vilkšanas (</w:t>
            </w:r>
            <w:proofErr w:type="spellStart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pullback</w:t>
            </w:r>
            <w:proofErr w:type="spellEnd"/>
            <w:r w:rsidRPr="00A35838">
              <w:rPr>
                <w:rFonts w:ascii="Times New Roman" w:hAnsi="Times New Roman" w:cs="Times New Roman"/>
                <w:i/>
                <w:iCs/>
                <w:color w:val="000000"/>
                <w:lang w:val="lv-LV" w:eastAsia="lv-LV"/>
              </w:rPr>
              <w:t>)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metodi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Asins plūsmas attēlošana asinsvadā.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IVUS pozīcijas attēlošana uz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attēla.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9.12.4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Stenta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struktūru uzlabota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vizualizācija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lastRenderedPageBreak/>
              <w:t>9.12.5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Stenozes izvērtēšanas fizioloģiskie mērījumi, izmatojot tehnikas ar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hiperēmijas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aģenta ievadīšanu un bez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hiperēmijas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aģenta ievadīšanas.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mērījumu tehnikas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43353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9.12.6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Fizioloģijas mērījuma pozīcijas un 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angiogrammas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savstarpēja reģistrācija. (</w:t>
            </w:r>
            <w:r w:rsidRPr="00A35838">
              <w:rPr>
                <w:rFonts w:ascii="Times New Roman" w:hAnsi="Times New Roman" w:cs="Times New Roman"/>
                <w:i/>
                <w:color w:val="000000"/>
                <w:lang w:val="lv-LV" w:eastAsia="lv-LV"/>
              </w:rPr>
              <w:t>Nosaukt programmu</w:t>
            </w:r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)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9.13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rPr>
                <w:rFonts w:ascii="Times New Roman" w:hAnsi="Times New Roman" w:cs="Times New Roman"/>
                <w:color w:val="000000"/>
                <w:lang w:val="lv-LV" w:eastAsia="lv-LV"/>
              </w:rPr>
            </w:pP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Bolusa</w:t>
            </w:r>
            <w:proofErr w:type="spellEnd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 xml:space="preserve"> </w:t>
            </w:r>
            <w:proofErr w:type="spellStart"/>
            <w:r w:rsidRPr="00A35838">
              <w:rPr>
                <w:rFonts w:ascii="Times New Roman" w:hAnsi="Times New Roman" w:cs="Times New Roman"/>
                <w:color w:val="000000"/>
                <w:lang w:val="lv-LV" w:eastAsia="lv-LV"/>
              </w:rPr>
              <w:t>injektors</w:t>
            </w:r>
            <w:proofErr w:type="spellEnd"/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b/>
                <w:bCs/>
                <w:color w:val="000000"/>
                <w:lang w:val="lv-LV" w:eastAsia="lv-LV"/>
              </w:rPr>
              <w:t>Papildus prasības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Ierīces kopējais svars ne vairāk, ka 1800 kg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10.2.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Ierīces augstums  –  ne vairāk, ka 2800 mm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10.3.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635E01">
            <w:pPr>
              <w:spacing w:after="0"/>
              <w:jc w:val="both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 xml:space="preserve">Jauna kabineta plāna izveidošana un saskaņošana ar radiācijas drošības ekspertu (sk. </w:t>
            </w:r>
            <w:r w:rsidR="00635E01">
              <w:rPr>
                <w:rFonts w:ascii="Times New Roman" w:hAnsi="Times New Roman" w:cs="Times New Roman"/>
                <w:lang w:val="lv-LV" w:eastAsia="lv-LV"/>
              </w:rPr>
              <w:t>k</w:t>
            </w:r>
            <w:r w:rsidR="007005DB">
              <w:rPr>
                <w:rFonts w:ascii="Times New Roman" w:hAnsi="Times New Roman" w:cs="Times New Roman"/>
                <w:lang w:val="lv-LV" w:eastAsia="lv-LV"/>
              </w:rPr>
              <w:t xml:space="preserve">abineta shēmu </w:t>
            </w:r>
            <w:r w:rsidR="00635E01">
              <w:rPr>
                <w:rFonts w:ascii="Times New Roman" w:hAnsi="Times New Roman" w:cs="Times New Roman"/>
                <w:lang w:val="lv-LV" w:eastAsia="lv-LV"/>
              </w:rPr>
              <w:t>pielikumā</w:t>
            </w:r>
            <w:r w:rsidRPr="00A35838">
              <w:rPr>
                <w:rFonts w:ascii="Times New Roman" w:hAnsi="Times New Roman" w:cs="Times New Roman"/>
                <w:lang w:val="lv-LV" w:eastAsia="lv-LV"/>
              </w:rPr>
              <w:t>). Visu darbu izmaksas Pretendentam jāiekļauj savā piedāvājumā.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10.4.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 xml:space="preserve">Piedāvājuma cenā jāiekļauj visas izmaksas, kas saistītas ar piegādi, transportu un ierīču nodošanu ekspluatācijā, tai skaitā obligāta ierīces integrācija ar esošo PACS un RIS sistēmu ar </w:t>
            </w:r>
            <w:proofErr w:type="spellStart"/>
            <w:r w:rsidRPr="00A35838">
              <w:rPr>
                <w:rFonts w:ascii="Times New Roman" w:hAnsi="Times New Roman" w:cs="Times New Roman"/>
                <w:lang w:val="lv-LV"/>
              </w:rPr>
              <w:t>Worklist</w:t>
            </w:r>
            <w:proofErr w:type="spellEnd"/>
            <w:r w:rsidRPr="00A35838">
              <w:rPr>
                <w:rFonts w:ascii="Times New Roman" w:hAnsi="Times New Roman" w:cs="Times New Roman"/>
                <w:lang w:val="lv-LV"/>
              </w:rPr>
              <w:t xml:space="preserve"> atbalstu (izmantojot DICOM protokolus). 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10.5.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643353" w:rsidP="00F05435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643353">
              <w:rPr>
                <w:rFonts w:ascii="Times New Roman" w:hAnsi="Times New Roman" w:cs="Times New Roman"/>
                <w:lang w:val="lv-LV"/>
              </w:rPr>
              <w:t xml:space="preserve">Piegādātājs piegādā, uzstāda un palaiž Ierīci ekspluatācijā </w:t>
            </w:r>
            <w:r w:rsidR="00F05435">
              <w:rPr>
                <w:rFonts w:ascii="Times New Roman" w:hAnsi="Times New Roman" w:cs="Times New Roman"/>
                <w:lang w:val="lv-LV"/>
              </w:rPr>
              <w:t>3 (trīs) kalendāro mēnešu</w:t>
            </w:r>
            <w:r w:rsidRPr="00643353">
              <w:rPr>
                <w:rFonts w:ascii="Times New Roman" w:hAnsi="Times New Roman" w:cs="Times New Roman"/>
                <w:lang w:val="lv-LV"/>
              </w:rPr>
              <w:t xml:space="preserve"> laikā no Pasūtītāja rakstiska pieteikuma saņemšanas dienas</w:t>
            </w:r>
            <w:r>
              <w:rPr>
                <w:rFonts w:ascii="Times New Roman" w:hAnsi="Times New Roman" w:cs="Times New Roman"/>
                <w:lang w:val="lv-LV"/>
              </w:rPr>
              <w:t>.</w:t>
            </w:r>
          </w:p>
        </w:tc>
      </w:tr>
      <w:tr w:rsidR="001A7D44" w:rsidRPr="00A00201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10.6.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7005DB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Piedāvātajām precēm garantijas termiņš ne mazāk ka 24 mēneši no pieņemšanas – nodošanas akta abpusējas parakstīšanas brīža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10.7.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Bezmaksas remonts un tehniskā apkope visa garantijas termiņa laikā</w:t>
            </w:r>
          </w:p>
        </w:tc>
      </w:tr>
      <w:tr w:rsidR="001A7D44" w:rsidRPr="00A35838" w:rsidTr="0063012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93746B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93746B">
              <w:rPr>
                <w:rFonts w:ascii="Times New Roman" w:hAnsi="Times New Roman" w:cs="Times New Roman"/>
                <w:lang w:val="lv-LV" w:eastAsia="lv-LV"/>
              </w:rPr>
              <w:t>10.8.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9374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  <w:r w:rsidRPr="0093746B">
              <w:rPr>
                <w:rFonts w:ascii="Times New Roman" w:hAnsi="Times New Roman" w:cs="Times New Roman"/>
                <w:lang w:val="lv-LV"/>
              </w:rPr>
              <w:t>Garantijas remontu jāveic sertificētam inženierim.</w:t>
            </w:r>
          </w:p>
        </w:tc>
      </w:tr>
      <w:tr w:rsidR="001A7D44" w:rsidRPr="00A35838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10.9.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color w:val="000000"/>
                <w:lang w:val="lv-LV"/>
              </w:rPr>
              <w:t>Garantijas apkalpošanas reakcijas laiks – 1 darba dienas laikā  no izsaukuma saņemšanas brīža</w:t>
            </w:r>
          </w:p>
        </w:tc>
      </w:tr>
      <w:tr w:rsidR="001A7D44" w:rsidRPr="00A00201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10.10.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both"/>
              <w:rPr>
                <w:rFonts w:ascii="Times New Roman" w:hAnsi="Times New Roman" w:cs="Times New Roman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>Pretendentam jānodrošina ierīces elektrodrošības, galveno funkciju un raksturlielumu pārbaudi un radiācijas zonas monitoringu un jānodod pārbaudi apliecinoši dokumenti kopā ar pieņemšanas nodošanas aktu.</w:t>
            </w:r>
          </w:p>
        </w:tc>
      </w:tr>
      <w:tr w:rsidR="001A7D44" w:rsidRPr="00A00201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10.11.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A002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  <w:r w:rsidRPr="00A35838">
              <w:rPr>
                <w:rFonts w:ascii="Times New Roman" w:hAnsi="Times New Roman" w:cs="Times New Roman"/>
                <w:lang w:val="lv-LV"/>
              </w:rPr>
              <w:t xml:space="preserve">Bezmaksas </w:t>
            </w:r>
            <w:r w:rsidR="00A00201">
              <w:rPr>
                <w:rFonts w:ascii="Times New Roman" w:hAnsi="Times New Roman" w:cs="Times New Roman"/>
                <w:lang w:val="lv-LV"/>
              </w:rPr>
              <w:t>10 (desmit)</w:t>
            </w:r>
            <w:r w:rsidR="007D4B8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A35838">
              <w:rPr>
                <w:rFonts w:ascii="Times New Roman" w:hAnsi="Times New Roman" w:cs="Times New Roman"/>
                <w:lang w:val="lv-LV"/>
              </w:rPr>
              <w:t>darbinieku profesionālā apmācība latviešu valodā, ierīces lietošanā uz vietas SIA “Daugavpils reģionālā slimnīca”,</w:t>
            </w:r>
            <w:bookmarkStart w:id="0" w:name="_GoBack"/>
            <w:bookmarkEnd w:id="0"/>
            <w:r w:rsidRPr="00A35838">
              <w:rPr>
                <w:rFonts w:ascii="Times New Roman" w:hAnsi="Times New Roman" w:cs="Times New Roman"/>
                <w:lang w:val="lv-LV"/>
              </w:rPr>
              <w:t xml:space="preserve"> struktūrvienībā “Centrāla slimnīca” – Vasarnīcu ielā 20, Daugavpils, izsniedzot kompetenci apliecinošu dokumentu.</w:t>
            </w:r>
          </w:p>
        </w:tc>
      </w:tr>
      <w:tr w:rsidR="001A7D44" w:rsidRPr="00A35838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10.12.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35838">
              <w:rPr>
                <w:rFonts w:ascii="Times New Roman" w:hAnsi="Times New Roman" w:cs="Times New Roman"/>
              </w:rPr>
              <w:t>Lietošanas instrukcija latviešu valoda (CD/USB).</w:t>
            </w:r>
          </w:p>
        </w:tc>
      </w:tr>
      <w:tr w:rsidR="001A7D44" w:rsidRPr="00A35838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1A7D44" w:rsidP="001A7D44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44" w:rsidRPr="00A35838" w:rsidRDefault="007005DB" w:rsidP="001A7D44">
            <w:pPr>
              <w:pStyle w:val="Standard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Tehniskajam piedāvājumam jāpievieno</w:t>
            </w:r>
            <w:r w:rsidR="001A7D44" w:rsidRPr="00A35838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7005DB" w:rsidRPr="00A35838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7005DB">
            <w:pPr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7005D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Pr="00A35838">
              <w:rPr>
                <w:rFonts w:ascii="Times New Roman" w:hAnsi="Times New Roman" w:cs="Times New Roman"/>
                <w:color w:val="000000"/>
              </w:rPr>
              <w:t>er</w:t>
            </w:r>
            <w:r>
              <w:rPr>
                <w:rFonts w:ascii="Times New Roman" w:hAnsi="Times New Roman" w:cs="Times New Roman"/>
                <w:color w:val="000000"/>
              </w:rPr>
              <w:t>īces tehniskās apkopes protokols</w:t>
            </w:r>
            <w:r w:rsidRPr="00A35838">
              <w:rPr>
                <w:rFonts w:ascii="Times New Roman" w:hAnsi="Times New Roman" w:cs="Times New Roman"/>
                <w:color w:val="000000"/>
              </w:rPr>
              <w:t xml:space="preserve"> (reglaments un periodiskums) saskaņā ar ražotāja rekomendācijām (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3F7E78">
              <w:rPr>
                <w:rFonts w:ascii="Times New Roman" w:hAnsi="Times New Roman" w:cs="Times New Roman"/>
                <w:color w:val="000000"/>
              </w:rPr>
              <w:t>ehniskās apkopes rokasgrāmata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3F7E78">
              <w:rPr>
                <w:rFonts w:ascii="Times New Roman" w:hAnsi="Times New Roman" w:cs="Times New Roman"/>
                <w:color w:val="000000"/>
              </w:rPr>
              <w:t>Maintenance</w:t>
            </w:r>
            <w:proofErr w:type="spellEnd"/>
            <w:r w:rsidRPr="003F7E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F7E78">
              <w:rPr>
                <w:rFonts w:ascii="Times New Roman" w:hAnsi="Times New Roman" w:cs="Times New Roman"/>
                <w:color w:val="000000"/>
              </w:rPr>
              <w:t>Manual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A35838">
              <w:rPr>
                <w:rFonts w:ascii="Times New Roman" w:hAnsi="Times New Roman" w:cs="Times New Roman"/>
                <w:color w:val="000000"/>
              </w:rPr>
              <w:t>).</w:t>
            </w:r>
          </w:p>
        </w:tc>
      </w:tr>
      <w:tr w:rsidR="007005DB" w:rsidRPr="00A00201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7005DB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7005D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Informācija</w:t>
            </w:r>
            <w:r w:rsidRPr="003F7E78">
              <w:rPr>
                <w:rFonts w:ascii="Times New Roman" w:hAnsi="Times New Roman" w:cs="Times New Roman"/>
              </w:rPr>
              <w:t xml:space="preserve"> (aprakst</w:t>
            </w:r>
            <w:r>
              <w:rPr>
                <w:rFonts w:ascii="Times New Roman" w:hAnsi="Times New Roman" w:cs="Times New Roman"/>
              </w:rPr>
              <w:t>s</w:t>
            </w:r>
            <w:r w:rsidRPr="003F7E78">
              <w:rPr>
                <w:rFonts w:ascii="Times New Roman" w:hAnsi="Times New Roman" w:cs="Times New Roman"/>
              </w:rPr>
              <w:t xml:space="preserve">) par </w:t>
            </w:r>
            <w:proofErr w:type="spellStart"/>
            <w:r w:rsidRPr="003F7E78">
              <w:rPr>
                <w:rFonts w:ascii="Times New Roman" w:hAnsi="Times New Roman" w:cs="Times New Roman"/>
              </w:rPr>
              <w:t>Vigilances</w:t>
            </w:r>
            <w:proofErr w:type="spellEnd"/>
            <w:r w:rsidRPr="003F7E78">
              <w:rPr>
                <w:rFonts w:ascii="Times New Roman" w:hAnsi="Times New Roman" w:cs="Times New Roman"/>
              </w:rPr>
              <w:t xml:space="preserve"> sistēmas nodrošināšanas pasākumiem, saskaņā ar Ministru kabineta 28.11.2017. noteikumiem Nr.689 “Medicīnisko ierīču reģistrācijas, atbilstības novērtēšanas, izplatīšanas, ekspluatācijas un tehniskās uzraudzības kārtība”</w:t>
            </w:r>
          </w:p>
        </w:tc>
      </w:tr>
      <w:tr w:rsidR="007005DB" w:rsidRPr="00A00201" w:rsidTr="00630125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7005DB">
            <w:pPr>
              <w:spacing w:after="0"/>
              <w:jc w:val="center"/>
              <w:rPr>
                <w:rFonts w:ascii="Times New Roman" w:hAnsi="Times New Roman" w:cs="Times New Roman"/>
                <w:lang w:val="lv-LV" w:eastAsia="lv-LV"/>
              </w:rPr>
            </w:pPr>
            <w:r w:rsidRPr="00A35838">
              <w:rPr>
                <w:rFonts w:ascii="Times New Roman" w:hAnsi="Times New Roman" w:cs="Times New Roman"/>
                <w:lang w:val="lv-LV" w:eastAsia="lv-LV"/>
              </w:rPr>
              <w:t>11.3.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DB" w:rsidRPr="00A35838" w:rsidRDefault="007005DB" w:rsidP="00201BC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Piedāvātās Preces r</w:t>
            </w:r>
            <w:r w:rsidRPr="00A35838">
              <w:rPr>
                <w:rFonts w:ascii="Times New Roman" w:hAnsi="Times New Roman" w:cs="Times New Roman"/>
              </w:rPr>
              <w:t xml:space="preserve">ažotāja </w:t>
            </w:r>
            <w:r>
              <w:rPr>
                <w:rFonts w:ascii="Times New Roman" w:hAnsi="Times New Roman" w:cs="Times New Roman"/>
              </w:rPr>
              <w:t>tehniski</w:t>
            </w:r>
            <w:r w:rsidRPr="00A35838">
              <w:rPr>
                <w:rFonts w:ascii="Times New Roman" w:hAnsi="Times New Roman" w:cs="Times New Roman"/>
              </w:rPr>
              <w:t xml:space="preserve"> un informatīvie materiāli (brošūras, lietošanas instrukcijas, </w:t>
            </w:r>
            <w:r>
              <w:rPr>
                <w:rFonts w:ascii="Times New Roman" w:hAnsi="Times New Roman" w:cs="Times New Roman"/>
              </w:rPr>
              <w:t>datu lapas</w:t>
            </w:r>
            <w:r w:rsidRPr="00A35838">
              <w:rPr>
                <w:rFonts w:ascii="Times New Roman" w:hAnsi="Times New Roman" w:cs="Times New Roman"/>
              </w:rPr>
              <w:t xml:space="preserve">), </w:t>
            </w:r>
            <w:r>
              <w:rPr>
                <w:rFonts w:ascii="Times New Roman" w:hAnsi="Times New Roman" w:cs="Times New Roman"/>
              </w:rPr>
              <w:t>kuros ir norādīta Preces atbilstības</w:t>
            </w:r>
            <w:r w:rsidRPr="00A358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A35838">
              <w:rPr>
                <w:rFonts w:ascii="Times New Roman" w:hAnsi="Times New Roman" w:cs="Times New Roman"/>
              </w:rPr>
              <w:t>nolikuma tehnisk</w:t>
            </w:r>
            <w:r>
              <w:rPr>
                <w:rFonts w:ascii="Times New Roman" w:hAnsi="Times New Roman" w:cs="Times New Roman"/>
              </w:rPr>
              <w:t>ās</w:t>
            </w:r>
            <w:r w:rsidRPr="00A35838">
              <w:rPr>
                <w:rFonts w:ascii="Times New Roman" w:hAnsi="Times New Roman" w:cs="Times New Roman"/>
              </w:rPr>
              <w:t xml:space="preserve"> specifikācij</w:t>
            </w:r>
            <w:r>
              <w:rPr>
                <w:rFonts w:ascii="Times New Roman" w:hAnsi="Times New Roman" w:cs="Times New Roman"/>
              </w:rPr>
              <w:t>as prasībām) vērtēšanai nepieciešama informācija</w:t>
            </w:r>
            <w:r w:rsidRPr="00A35838">
              <w:rPr>
                <w:rFonts w:ascii="Times New Roman" w:hAnsi="Times New Roman" w:cs="Times New Roman"/>
              </w:rPr>
              <w:t xml:space="preserve">. </w:t>
            </w:r>
            <w:r w:rsidR="00201BC7">
              <w:rPr>
                <w:rFonts w:ascii="Times New Roman" w:hAnsi="Times New Roman" w:cs="Times New Roman"/>
              </w:rPr>
              <w:t>Pretendents ir tiesīgs norādīt ražotāja tīmekļvietni, kur piedāvātās Preces ražotāja tehniski un informatīvie materiāli (brošūras, lietošanas instrukcijas, datu lapas) ir publiski pieejami.</w:t>
            </w:r>
          </w:p>
        </w:tc>
      </w:tr>
    </w:tbl>
    <w:p w:rsidR="00732005" w:rsidRPr="00035EDA" w:rsidRDefault="00732005" w:rsidP="00732005">
      <w:pPr>
        <w:keepNext/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bookmarkStart w:id="1" w:name="_Toc158102002"/>
      <w:bookmarkStart w:id="2" w:name="_Toc224459228"/>
      <w:bookmarkStart w:id="3" w:name="_Toc224459622"/>
      <w:bookmarkStart w:id="4" w:name="_Toc224460060"/>
      <w:bookmarkStart w:id="5" w:name="_Toc224980917"/>
      <w:bookmarkStart w:id="6" w:name="_Toc224981177"/>
      <w:bookmarkEnd w:id="1"/>
      <w:bookmarkEnd w:id="2"/>
      <w:bookmarkEnd w:id="3"/>
      <w:bookmarkEnd w:id="4"/>
      <w:bookmarkEnd w:id="5"/>
      <w:bookmarkEnd w:id="6"/>
    </w:p>
    <w:sectPr w:rsidR="00732005" w:rsidRPr="00035EDA" w:rsidSect="00630125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77E" w:rsidRDefault="00EE377E" w:rsidP="006E294A">
      <w:pPr>
        <w:spacing w:after="0" w:line="240" w:lineRule="auto"/>
      </w:pPr>
      <w:r>
        <w:separator/>
      </w:r>
    </w:p>
  </w:endnote>
  <w:endnote w:type="continuationSeparator" w:id="0">
    <w:p w:rsidR="00EE377E" w:rsidRDefault="00EE377E" w:rsidP="006E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44571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7D4B84" w:rsidRPr="006E294A" w:rsidRDefault="007D4B84" w:rsidP="006E294A">
        <w:pPr>
          <w:pStyle w:val="Footer"/>
          <w:tabs>
            <w:tab w:val="left" w:pos="2160"/>
            <w:tab w:val="center" w:pos="4844"/>
          </w:tabs>
          <w:rPr>
            <w:rFonts w:ascii="Times New Roman" w:hAnsi="Times New Roman" w:cs="Times New Roman"/>
            <w:sz w:val="18"/>
            <w:szCs w:val="18"/>
          </w:rPr>
        </w:pPr>
        <w:r>
          <w:tab/>
        </w:r>
        <w:r>
          <w:tab/>
        </w:r>
        <w:r>
          <w:tab/>
        </w:r>
        <w:r w:rsidRPr="006E294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E294A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6E294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00201">
          <w:rPr>
            <w:rFonts w:ascii="Times New Roman" w:hAnsi="Times New Roman" w:cs="Times New Roman"/>
            <w:noProof/>
            <w:sz w:val="18"/>
            <w:szCs w:val="18"/>
          </w:rPr>
          <w:t>5</w:t>
        </w:r>
        <w:r w:rsidRPr="006E294A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7D4B84" w:rsidRDefault="007D4B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77E" w:rsidRDefault="00EE377E" w:rsidP="006E294A">
      <w:pPr>
        <w:spacing w:after="0" w:line="240" w:lineRule="auto"/>
      </w:pPr>
      <w:r>
        <w:separator/>
      </w:r>
    </w:p>
  </w:footnote>
  <w:footnote w:type="continuationSeparator" w:id="0">
    <w:p w:rsidR="00EE377E" w:rsidRDefault="00EE377E" w:rsidP="006E2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B84" w:rsidRPr="00630125" w:rsidRDefault="007D4B84" w:rsidP="001A7D44">
    <w:pPr>
      <w:pStyle w:val="Header"/>
      <w:jc w:val="center"/>
      <w:rPr>
        <w:rFonts w:ascii="Times New Roman" w:hAnsi="Times New Roman" w:cs="Times New Roman"/>
        <w:i/>
        <w:lang w:val="lv-LV"/>
      </w:rPr>
    </w:pPr>
    <w:r w:rsidRPr="00630125">
      <w:rPr>
        <w:rFonts w:ascii="Times New Roman" w:hAnsi="Times New Roman" w:cs="Times New Roman"/>
        <w:i/>
        <w:lang w:val="lv-LV"/>
      </w:rPr>
      <w:t>ERAF projekts “Sabiedrības ar ierobežotu atbildību “Daugavpils reģionālā slimnīca” kvalitatīvu veselības aprūpes pakalpojumu pieejamības uzlabošana un infrastruktūras attīstība”,</w:t>
    </w:r>
  </w:p>
  <w:p w:rsidR="007D4B84" w:rsidRPr="00630125" w:rsidRDefault="007D4B84" w:rsidP="001A7D44">
    <w:pPr>
      <w:pStyle w:val="Header"/>
      <w:jc w:val="center"/>
      <w:rPr>
        <w:rFonts w:ascii="Times New Roman" w:hAnsi="Times New Roman" w:cs="Times New Roman"/>
        <w:i/>
        <w:lang w:val="lv-LV"/>
      </w:rPr>
    </w:pPr>
    <w:r w:rsidRPr="00630125">
      <w:rPr>
        <w:rFonts w:ascii="Times New Roman" w:hAnsi="Times New Roman" w:cs="Times New Roman"/>
        <w:i/>
        <w:lang w:val="lv-LV"/>
      </w:rPr>
      <w:t>Nr. 9.3.2.0/17/I/010</w:t>
    </w:r>
  </w:p>
  <w:p w:rsidR="007D4B84" w:rsidRPr="001A7D44" w:rsidRDefault="007D4B84" w:rsidP="001A7D44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60113"/>
    <w:multiLevelType w:val="hybridMultilevel"/>
    <w:tmpl w:val="E0A4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F594C"/>
    <w:multiLevelType w:val="hybridMultilevel"/>
    <w:tmpl w:val="1058414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2F67FD"/>
    <w:multiLevelType w:val="hybridMultilevel"/>
    <w:tmpl w:val="6D90C75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7F3C884C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0C1B8D"/>
    <w:multiLevelType w:val="hybridMultilevel"/>
    <w:tmpl w:val="2FECF920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F7788"/>
    <w:multiLevelType w:val="hybridMultilevel"/>
    <w:tmpl w:val="B8DC7294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F7CB5"/>
    <w:multiLevelType w:val="hybridMultilevel"/>
    <w:tmpl w:val="1FB6F8E4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A74"/>
    <w:multiLevelType w:val="multilevel"/>
    <w:tmpl w:val="1638DE7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855822"/>
    <w:multiLevelType w:val="hybridMultilevel"/>
    <w:tmpl w:val="C012118C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F66B9"/>
    <w:multiLevelType w:val="hybridMultilevel"/>
    <w:tmpl w:val="1576ADBE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D282F"/>
    <w:multiLevelType w:val="hybridMultilevel"/>
    <w:tmpl w:val="8D68722E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360E0"/>
    <w:multiLevelType w:val="hybridMultilevel"/>
    <w:tmpl w:val="7730C84A"/>
    <w:lvl w:ilvl="0" w:tplc="0B68D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70BE"/>
    <w:multiLevelType w:val="multilevel"/>
    <w:tmpl w:val="F334D7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14"/>
    <w:rsid w:val="00035EDA"/>
    <w:rsid w:val="00041263"/>
    <w:rsid w:val="000757B9"/>
    <w:rsid w:val="000906E5"/>
    <w:rsid w:val="001003B6"/>
    <w:rsid w:val="00140513"/>
    <w:rsid w:val="001A7D44"/>
    <w:rsid w:val="001C688E"/>
    <w:rsid w:val="00201BC7"/>
    <w:rsid w:val="00201FEE"/>
    <w:rsid w:val="0020622B"/>
    <w:rsid w:val="00273CFB"/>
    <w:rsid w:val="00282AE8"/>
    <w:rsid w:val="002C2F1B"/>
    <w:rsid w:val="002E55CC"/>
    <w:rsid w:val="0034706E"/>
    <w:rsid w:val="004603BC"/>
    <w:rsid w:val="00492679"/>
    <w:rsid w:val="005D0481"/>
    <w:rsid w:val="005D77B4"/>
    <w:rsid w:val="005E2F21"/>
    <w:rsid w:val="005E7329"/>
    <w:rsid w:val="00630125"/>
    <w:rsid w:val="00635E01"/>
    <w:rsid w:val="00643353"/>
    <w:rsid w:val="00664652"/>
    <w:rsid w:val="006E294A"/>
    <w:rsid w:val="007005DB"/>
    <w:rsid w:val="00700682"/>
    <w:rsid w:val="00732005"/>
    <w:rsid w:val="007463D8"/>
    <w:rsid w:val="00795051"/>
    <w:rsid w:val="007D4B84"/>
    <w:rsid w:val="00811154"/>
    <w:rsid w:val="008A71DF"/>
    <w:rsid w:val="0093746B"/>
    <w:rsid w:val="009832EA"/>
    <w:rsid w:val="009D0DE0"/>
    <w:rsid w:val="009E2E81"/>
    <w:rsid w:val="00A00201"/>
    <w:rsid w:val="00A15045"/>
    <w:rsid w:val="00A33576"/>
    <w:rsid w:val="00AC7750"/>
    <w:rsid w:val="00AD6E68"/>
    <w:rsid w:val="00AE0F14"/>
    <w:rsid w:val="00B74DDA"/>
    <w:rsid w:val="00BA6DD9"/>
    <w:rsid w:val="00C401D4"/>
    <w:rsid w:val="00CD043E"/>
    <w:rsid w:val="00CF6176"/>
    <w:rsid w:val="00DB1E4E"/>
    <w:rsid w:val="00EA3503"/>
    <w:rsid w:val="00EC4288"/>
    <w:rsid w:val="00EE0205"/>
    <w:rsid w:val="00EE377E"/>
    <w:rsid w:val="00F05435"/>
    <w:rsid w:val="00FB3159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A9AB6A-AD9E-4C04-A3BA-838907ED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Section Heading,heading1,Antraste 1,h1,H1"/>
    <w:basedOn w:val="Normal"/>
    <w:next w:val="Normal"/>
    <w:link w:val="Heading1Char"/>
    <w:qFormat/>
    <w:rsid w:val="009E2E81"/>
    <w:pPr>
      <w:keepNext/>
      <w:widowControl w:val="0"/>
      <w:numPr>
        <w:numId w:val="11"/>
      </w:numPr>
      <w:autoSpaceDE w:val="0"/>
      <w:autoSpaceDN w:val="0"/>
      <w:spacing w:after="0" w:line="240" w:lineRule="auto"/>
      <w:jc w:val="center"/>
      <w:outlineLvl w:val="0"/>
    </w:pPr>
    <w:rPr>
      <w:rFonts w:ascii="Times New Roman Bold" w:eastAsia="Times New Roman" w:hAnsi="Times New Roman Bold" w:cs="Times New Roman"/>
      <w:b/>
      <w:bCs/>
      <w:smallCaps/>
      <w:sz w:val="28"/>
      <w:szCs w:val="2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9E2E81"/>
    <w:pPr>
      <w:keepNext/>
      <w:widowControl w:val="0"/>
      <w:numPr>
        <w:ilvl w:val="1"/>
        <w:numId w:val="11"/>
      </w:numPr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9E2E81"/>
    <w:pPr>
      <w:keepNext/>
      <w:widowControl w:val="0"/>
      <w:numPr>
        <w:ilvl w:val="2"/>
        <w:numId w:val="11"/>
      </w:numPr>
      <w:tabs>
        <w:tab w:val="clear" w:pos="720"/>
        <w:tab w:val="num" w:pos="1260"/>
      </w:tabs>
      <w:autoSpaceDE w:val="0"/>
      <w:autoSpaceDN w:val="0"/>
      <w:spacing w:after="0" w:line="240" w:lineRule="auto"/>
      <w:ind w:left="126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Heading4">
    <w:name w:val="heading 4"/>
    <w:basedOn w:val="Normal"/>
    <w:next w:val="Normal"/>
    <w:link w:val="Heading4Char"/>
    <w:qFormat/>
    <w:rsid w:val="009E2E81"/>
    <w:pPr>
      <w:keepNext/>
      <w:widowControl w:val="0"/>
      <w:numPr>
        <w:ilvl w:val="3"/>
        <w:numId w:val="11"/>
      </w:numPr>
      <w:tabs>
        <w:tab w:val="clear" w:pos="864"/>
        <w:tab w:val="num" w:pos="1800"/>
      </w:tabs>
      <w:autoSpaceDE w:val="0"/>
      <w:autoSpaceDN w:val="0"/>
      <w:spacing w:after="0" w:line="240" w:lineRule="auto"/>
      <w:ind w:left="1800" w:hanging="1080"/>
      <w:jc w:val="both"/>
      <w:outlineLvl w:val="3"/>
    </w:pPr>
    <w:rPr>
      <w:rFonts w:ascii="Times New Roman" w:eastAsia="Times New Roman" w:hAnsi="Times New Roman" w:cs="Times New Roman"/>
      <w:sz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9E2E81"/>
    <w:pPr>
      <w:keepNext/>
      <w:widowControl w:val="0"/>
      <w:numPr>
        <w:ilvl w:val="4"/>
        <w:numId w:val="11"/>
      </w:numPr>
      <w:tabs>
        <w:tab w:val="clear" w:pos="1008"/>
        <w:tab w:val="num" w:pos="3060"/>
      </w:tabs>
      <w:autoSpaceDE w:val="0"/>
      <w:autoSpaceDN w:val="0"/>
      <w:spacing w:after="0" w:line="240" w:lineRule="auto"/>
      <w:ind w:left="3060" w:hanging="1260"/>
      <w:jc w:val="both"/>
      <w:outlineLvl w:val="4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9E2E81"/>
    <w:pPr>
      <w:keepNext/>
      <w:widowControl w:val="0"/>
      <w:numPr>
        <w:ilvl w:val="5"/>
        <w:numId w:val="11"/>
      </w:numPr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7">
    <w:name w:val="heading 7"/>
    <w:basedOn w:val="Normal"/>
    <w:next w:val="Normal"/>
    <w:link w:val="Heading7Char"/>
    <w:qFormat/>
    <w:rsid w:val="009E2E81"/>
    <w:pPr>
      <w:keepNext/>
      <w:widowControl w:val="0"/>
      <w:numPr>
        <w:ilvl w:val="6"/>
        <w:numId w:val="11"/>
      </w:numPr>
      <w:autoSpaceDE w:val="0"/>
      <w:autoSpaceDN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8">
    <w:name w:val="heading 8"/>
    <w:basedOn w:val="Normal"/>
    <w:next w:val="Normal"/>
    <w:link w:val="Heading8Char"/>
    <w:qFormat/>
    <w:rsid w:val="009E2E81"/>
    <w:pPr>
      <w:keepNext/>
      <w:widowControl w:val="0"/>
      <w:numPr>
        <w:ilvl w:val="7"/>
        <w:numId w:val="11"/>
      </w:numPr>
      <w:autoSpaceDE w:val="0"/>
      <w:autoSpaceDN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lang w:val="x-none"/>
    </w:rPr>
  </w:style>
  <w:style w:type="paragraph" w:styleId="Heading9">
    <w:name w:val="heading 9"/>
    <w:basedOn w:val="Normal"/>
    <w:next w:val="Normal"/>
    <w:link w:val="Heading9Char"/>
    <w:qFormat/>
    <w:rsid w:val="009E2E81"/>
    <w:pPr>
      <w:keepNext/>
      <w:widowControl w:val="0"/>
      <w:numPr>
        <w:ilvl w:val="8"/>
        <w:numId w:val="11"/>
      </w:numPr>
      <w:autoSpaceDE w:val="0"/>
      <w:autoSpaceDN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357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E6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29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94A"/>
  </w:style>
  <w:style w:type="paragraph" w:styleId="Footer">
    <w:name w:val="footer"/>
    <w:basedOn w:val="Normal"/>
    <w:link w:val="FooterChar"/>
    <w:uiPriority w:val="99"/>
    <w:unhideWhenUsed/>
    <w:rsid w:val="006E29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94A"/>
  </w:style>
  <w:style w:type="character" w:customStyle="1" w:styleId="Heading1Char">
    <w:name w:val="Heading 1 Char"/>
    <w:aliases w:val="Section Heading Char,heading1 Char,Antraste 1 Char,h1 Char,H1 Char"/>
    <w:basedOn w:val="DefaultParagraphFont"/>
    <w:link w:val="Heading1"/>
    <w:rsid w:val="009E2E81"/>
    <w:rPr>
      <w:rFonts w:ascii="Times New Roman Bold" w:eastAsia="Times New Roman" w:hAnsi="Times New Roman Bold" w:cs="Times New Roman"/>
      <w:b/>
      <w:bCs/>
      <w:smallCaps/>
      <w:sz w:val="28"/>
      <w:szCs w:val="24"/>
      <w:lang w:val="x-none"/>
    </w:rPr>
  </w:style>
  <w:style w:type="character" w:customStyle="1" w:styleId="Heading2Char">
    <w:name w:val="Heading 2 Char"/>
    <w:basedOn w:val="DefaultParagraphFont"/>
    <w:link w:val="Heading2"/>
    <w:rsid w:val="009E2E81"/>
    <w:rPr>
      <w:rFonts w:ascii="Times New Roman" w:eastAsia="Times New Roman" w:hAnsi="Times New Roman" w:cs="Times New Roman"/>
      <w:b/>
      <w:bCs/>
      <w:sz w:val="24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9E2E8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ing4Char">
    <w:name w:val="Heading 4 Char"/>
    <w:basedOn w:val="DefaultParagraphFont"/>
    <w:link w:val="Heading4"/>
    <w:rsid w:val="009E2E81"/>
    <w:rPr>
      <w:rFonts w:ascii="Times New Roman" w:eastAsia="Times New Roman" w:hAnsi="Times New Roman" w:cs="Times New Roman"/>
      <w:sz w:val="24"/>
      <w:lang w:val="x-none"/>
    </w:rPr>
  </w:style>
  <w:style w:type="character" w:customStyle="1" w:styleId="Heading5Char">
    <w:name w:val="Heading 5 Char"/>
    <w:basedOn w:val="DefaultParagraphFont"/>
    <w:link w:val="Heading5"/>
    <w:rsid w:val="009E2E8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7Char">
    <w:name w:val="Heading 7 Char"/>
    <w:basedOn w:val="DefaultParagraphFont"/>
    <w:link w:val="Heading7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8Char">
    <w:name w:val="Heading 8 Char"/>
    <w:basedOn w:val="DefaultParagraphFont"/>
    <w:link w:val="Heading8"/>
    <w:rsid w:val="009E2E81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Heading9Char">
    <w:name w:val="Heading 9 Char"/>
    <w:basedOn w:val="DefaultParagraphFont"/>
    <w:link w:val="Heading9"/>
    <w:rsid w:val="009E2E81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naisf">
    <w:name w:val="naisf"/>
    <w:basedOn w:val="Normal"/>
    <w:uiPriority w:val="99"/>
    <w:rsid w:val="001A7D44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Standard">
    <w:name w:val="Standard"/>
    <w:uiPriority w:val="99"/>
    <w:rsid w:val="001A7D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5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Lakomko</dc:creator>
  <cp:keywords/>
  <dc:description/>
  <cp:lastModifiedBy>Olga Strelkova</cp:lastModifiedBy>
  <cp:revision>20</cp:revision>
  <cp:lastPrinted>2018-03-19T13:25:00Z</cp:lastPrinted>
  <dcterms:created xsi:type="dcterms:W3CDTF">2017-11-16T09:57:00Z</dcterms:created>
  <dcterms:modified xsi:type="dcterms:W3CDTF">2018-04-27T05:29:00Z</dcterms:modified>
</cp:coreProperties>
</file>