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1F" w:rsidRDefault="003308AF" w:rsidP="003308AF">
      <w:pPr>
        <w:tabs>
          <w:tab w:val="left" w:pos="4200"/>
        </w:tabs>
        <w:jc w:val="right"/>
        <w:rPr>
          <w:i/>
          <w:sz w:val="24"/>
          <w:szCs w:val="24"/>
          <w:lang w:val="lv-LV"/>
        </w:rPr>
      </w:pPr>
      <w:r w:rsidRPr="003308AF">
        <w:rPr>
          <w:i/>
          <w:sz w:val="24"/>
          <w:szCs w:val="24"/>
          <w:lang w:val="lv-LV"/>
        </w:rPr>
        <w:t>Informācija sagatavota saskaņā ar</w:t>
      </w:r>
    </w:p>
    <w:p w:rsidR="003308AF" w:rsidRDefault="003308AF" w:rsidP="003308AF">
      <w:pPr>
        <w:tabs>
          <w:tab w:val="left" w:pos="4200"/>
        </w:tabs>
        <w:jc w:val="right"/>
        <w:rPr>
          <w:i/>
          <w:sz w:val="24"/>
          <w:szCs w:val="24"/>
          <w:lang w:val="lv-LV"/>
        </w:rPr>
      </w:pPr>
      <w:r>
        <w:rPr>
          <w:i/>
          <w:sz w:val="24"/>
          <w:szCs w:val="24"/>
          <w:lang w:val="lv-LV"/>
        </w:rPr>
        <w:t>Ministru kabineta 2016.gada 12.aprīļa noteikumu Nr.225 “Kārtība, kādā tiek</w:t>
      </w:r>
    </w:p>
    <w:p w:rsidR="003308AF" w:rsidRDefault="003308AF" w:rsidP="003308AF">
      <w:pPr>
        <w:tabs>
          <w:tab w:val="left" w:pos="4200"/>
        </w:tabs>
        <w:jc w:val="right"/>
        <w:rPr>
          <w:i/>
          <w:sz w:val="24"/>
          <w:szCs w:val="24"/>
          <w:lang w:val="lv-LV"/>
        </w:rPr>
      </w:pPr>
      <w:r>
        <w:rPr>
          <w:i/>
          <w:sz w:val="24"/>
          <w:szCs w:val="24"/>
          <w:lang w:val="lv-LV"/>
        </w:rPr>
        <w:t>publiskota informācija par amatpersonu (darbinieku) atlīdzības noteikšanas</w:t>
      </w:r>
    </w:p>
    <w:p w:rsidR="003308AF" w:rsidRPr="003308AF" w:rsidRDefault="003308AF" w:rsidP="003308AF">
      <w:pPr>
        <w:tabs>
          <w:tab w:val="left" w:pos="4200"/>
        </w:tabs>
        <w:jc w:val="right"/>
        <w:rPr>
          <w:i/>
          <w:sz w:val="24"/>
          <w:szCs w:val="24"/>
          <w:lang w:val="lv-LV"/>
        </w:rPr>
      </w:pPr>
      <w:r>
        <w:rPr>
          <w:i/>
          <w:sz w:val="24"/>
          <w:szCs w:val="24"/>
          <w:lang w:val="lv-LV"/>
        </w:rPr>
        <w:t>kritērijiem un darba samaksas apmēru sadalījumā pa amatu grupām” 3.pielikumu</w:t>
      </w:r>
      <w:bookmarkStart w:id="0" w:name="_GoBack"/>
      <w:bookmarkEnd w:id="0"/>
    </w:p>
    <w:p w:rsidR="003308AF" w:rsidRPr="003308AF" w:rsidRDefault="003308AF" w:rsidP="003308AF">
      <w:pPr>
        <w:tabs>
          <w:tab w:val="left" w:pos="4200"/>
        </w:tabs>
        <w:jc w:val="right"/>
        <w:rPr>
          <w:i/>
          <w:sz w:val="24"/>
          <w:szCs w:val="24"/>
          <w:lang w:val="lv-LV"/>
        </w:rPr>
      </w:pPr>
    </w:p>
    <w:p w:rsidR="003308AF" w:rsidRDefault="003308AF" w:rsidP="000C2387">
      <w:pPr>
        <w:tabs>
          <w:tab w:val="left" w:pos="4200"/>
        </w:tabs>
        <w:jc w:val="center"/>
        <w:rPr>
          <w:b/>
          <w:sz w:val="24"/>
          <w:szCs w:val="24"/>
          <w:lang w:val="lv-LV"/>
        </w:rPr>
      </w:pPr>
    </w:p>
    <w:p w:rsidR="00B67A1F" w:rsidRDefault="00B67A1F" w:rsidP="000C2387">
      <w:pPr>
        <w:tabs>
          <w:tab w:val="left" w:pos="4200"/>
        </w:tabs>
        <w:jc w:val="center"/>
        <w:rPr>
          <w:b/>
          <w:sz w:val="24"/>
          <w:szCs w:val="24"/>
          <w:lang w:val="lv-LV"/>
        </w:rPr>
      </w:pPr>
      <w:r>
        <w:rPr>
          <w:b/>
          <w:sz w:val="24"/>
          <w:szCs w:val="24"/>
          <w:lang w:val="lv-LV"/>
        </w:rPr>
        <w:t>Sabiedrība ar ierobežotu atbildību</w:t>
      </w:r>
    </w:p>
    <w:p w:rsidR="00B67A1F" w:rsidRDefault="00B67A1F" w:rsidP="000C2387">
      <w:pPr>
        <w:tabs>
          <w:tab w:val="left" w:pos="4200"/>
        </w:tabs>
        <w:jc w:val="center"/>
        <w:rPr>
          <w:b/>
          <w:sz w:val="24"/>
          <w:szCs w:val="24"/>
          <w:lang w:val="lv-LV"/>
        </w:rPr>
      </w:pPr>
      <w:r>
        <w:rPr>
          <w:b/>
          <w:sz w:val="24"/>
          <w:szCs w:val="24"/>
          <w:lang w:val="lv-LV"/>
        </w:rPr>
        <w:t>“Daugavpils dzīvokļu un komunālās saimniecības uzņēmums”</w:t>
      </w:r>
    </w:p>
    <w:p w:rsidR="000C2387" w:rsidRDefault="000C2387" w:rsidP="000C2387">
      <w:pPr>
        <w:tabs>
          <w:tab w:val="left" w:pos="4200"/>
        </w:tabs>
        <w:jc w:val="center"/>
        <w:rPr>
          <w:b/>
          <w:sz w:val="24"/>
          <w:szCs w:val="24"/>
          <w:lang w:val="lv-LV"/>
        </w:rPr>
      </w:pPr>
      <w:r>
        <w:rPr>
          <w:b/>
          <w:sz w:val="24"/>
          <w:szCs w:val="24"/>
          <w:lang w:val="lv-LV"/>
        </w:rPr>
        <w:t>Informācijas par piemaksām, prēmijām, naudas balvām, sociālajām garantijām un to noteikšanas kritērijiem</w:t>
      </w:r>
    </w:p>
    <w:p w:rsidR="000C2387" w:rsidRDefault="000C2387" w:rsidP="000C2387">
      <w:pPr>
        <w:jc w:val="right"/>
        <w:rPr>
          <w:sz w:val="24"/>
          <w:szCs w:val="24"/>
          <w:lang w:val="lv-LV"/>
        </w:rPr>
      </w:pPr>
      <w:r>
        <w:rPr>
          <w:sz w:val="24"/>
          <w:szCs w:val="24"/>
          <w:lang w:val="lv-LV"/>
        </w:rPr>
        <w:t>1.tabula</w:t>
      </w:r>
    </w:p>
    <w:p w:rsidR="000C2387" w:rsidRDefault="000C2387" w:rsidP="000C2387">
      <w:pPr>
        <w:jc w:val="center"/>
        <w:rPr>
          <w:b/>
          <w:sz w:val="24"/>
          <w:szCs w:val="24"/>
          <w:lang w:val="lv-LV"/>
        </w:rPr>
      </w:pPr>
      <w:r>
        <w:rPr>
          <w:b/>
          <w:sz w:val="24"/>
          <w:szCs w:val="24"/>
          <w:lang w:val="lv-LV"/>
        </w:rPr>
        <w:t>Informācija par piemaksām, prēmijām un naudas balvām</w:t>
      </w:r>
    </w:p>
    <w:p w:rsidR="000C2387" w:rsidRDefault="000C2387" w:rsidP="000C2387">
      <w:pPr>
        <w:jc w:val="right"/>
        <w:rPr>
          <w:lang w:val="lv-LV"/>
        </w:rPr>
      </w:pPr>
    </w:p>
    <w:tbl>
      <w:tblPr>
        <w:tblW w:w="1026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055"/>
        <w:gridCol w:w="3420"/>
        <w:gridCol w:w="2907"/>
      </w:tblGrid>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Nr. p.</w:t>
            </w:r>
          </w:p>
          <w:p w:rsidR="000C2387" w:rsidRDefault="000C2387">
            <w:pPr>
              <w:rPr>
                <w:lang w:val="lv-LV"/>
              </w:rPr>
            </w:pPr>
            <w:r>
              <w:rPr>
                <w:lang w:val="lv-LV"/>
              </w:rPr>
              <w:t>k.</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Piemaksas vai prēmijas veids, naudas balva</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Piemaksas, prēmijas vai naudas balvas apmērs (</w:t>
            </w:r>
            <w:proofErr w:type="spellStart"/>
            <w:r>
              <w:rPr>
                <w:i/>
                <w:lang w:val="lv-LV"/>
              </w:rPr>
              <w:t>euro</w:t>
            </w:r>
            <w:proofErr w:type="spellEnd"/>
            <w:r>
              <w:rPr>
                <w:lang w:val="lv-LV"/>
              </w:rPr>
              <w:t xml:space="preserve"> vai %)</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Piešķiršanas pamatojums vai kritēriji</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1</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2</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3</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4</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1.</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Darbinieks saņem piemaksu, ja papildus saviem tiešajiem darba pienākumiem aizvieto prombūtnē esošu darbinieku, pilda vakanta amata (darba) pienākumus vai papildus amata aprakstā noteiktajiem pienākumiem pilda vēl citus pienākumus.</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color w:val="000000"/>
                <w:lang w:val="lv-LV"/>
              </w:rPr>
              <w:t xml:space="preserve">Piemaksas apmērs mēnesī nedrīkst pārsniegt 30 procentus no darbiniekam noteiktās mēnešalgas. </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1.3.punkts.</w:t>
            </w:r>
          </w:p>
        </w:tc>
      </w:tr>
      <w:tr w:rsidR="000C2387" w:rsidTr="000C2387">
        <w:tc>
          <w:tcPr>
            <w:tcW w:w="878" w:type="dxa"/>
            <w:tcBorders>
              <w:top w:val="single" w:sz="4" w:space="0" w:color="auto"/>
              <w:left w:val="outset" w:sz="6" w:space="0" w:color="auto"/>
              <w:bottom w:val="single" w:sz="4" w:space="0" w:color="auto"/>
              <w:right w:val="single" w:sz="4" w:space="0" w:color="auto"/>
            </w:tcBorders>
            <w:hideMark/>
          </w:tcPr>
          <w:p w:rsidR="000C2387" w:rsidRDefault="000C2387">
            <w:pPr>
              <w:rPr>
                <w:lang w:val="lv-LV"/>
              </w:rPr>
            </w:pPr>
            <w:r>
              <w:rPr>
                <w:lang w:val="lv-LV"/>
              </w:rPr>
              <w:t>2.</w:t>
            </w:r>
          </w:p>
        </w:tc>
        <w:tc>
          <w:tcPr>
            <w:tcW w:w="3055" w:type="dxa"/>
            <w:tcBorders>
              <w:top w:val="single" w:sz="4" w:space="0" w:color="auto"/>
              <w:left w:val="single" w:sz="4" w:space="0" w:color="auto"/>
              <w:bottom w:val="single" w:sz="4" w:space="0" w:color="auto"/>
              <w:right w:val="single" w:sz="4" w:space="0" w:color="auto"/>
            </w:tcBorders>
          </w:tcPr>
          <w:p w:rsidR="000C2387" w:rsidRDefault="000C2387">
            <w:pPr>
              <w:jc w:val="both"/>
              <w:rPr>
                <w:color w:val="000000"/>
                <w:lang w:val="lv-LV"/>
              </w:rPr>
            </w:pPr>
            <w:r>
              <w:rPr>
                <w:color w:val="000000"/>
                <w:lang w:val="lv-LV"/>
              </w:rPr>
              <w:t xml:space="preserve">Uzņēmuma vadība nolūkā nodrošināt kompetentāko darbinieku motivēšanu un ņemot vērā konkrētā darbinieka ieguldījumu uzņēmuma mērķu sasniegšanā var darbiniekam noteikt piemaksu par personisko darba ieguldījumu un darba kvalitāti. </w:t>
            </w:r>
          </w:p>
          <w:p w:rsidR="000C2387" w:rsidRDefault="000C2387">
            <w:pPr>
              <w:rPr>
                <w:lang w:val="lv-LV"/>
              </w:rPr>
            </w:pP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color w:val="000000"/>
                <w:lang w:val="lv-LV"/>
              </w:rPr>
              <w:t>Piemaksas apmērs mēnesī nedrīkst pārsniegt 30 procentus no darbiniekam noteiktās mēnešalgas. Piemaksu regulāri pārskata, izvērtējot tās nepieciešamību un pamatojumu, bet ne retāk kā reizi gadā.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- 1.5.punkts.</w:t>
            </w:r>
          </w:p>
        </w:tc>
      </w:tr>
      <w:tr w:rsidR="000C2387" w:rsidTr="000C2387">
        <w:tc>
          <w:tcPr>
            <w:tcW w:w="878" w:type="dxa"/>
            <w:tcBorders>
              <w:top w:val="single" w:sz="4" w:space="0" w:color="auto"/>
              <w:left w:val="outset" w:sz="6" w:space="0" w:color="auto"/>
              <w:bottom w:val="single" w:sz="4" w:space="0" w:color="auto"/>
              <w:right w:val="single" w:sz="4" w:space="0" w:color="auto"/>
            </w:tcBorders>
            <w:hideMark/>
          </w:tcPr>
          <w:p w:rsidR="000C2387" w:rsidRDefault="000C2387">
            <w:pPr>
              <w:rPr>
                <w:lang w:val="lv-LV"/>
              </w:rPr>
            </w:pPr>
            <w:r>
              <w:rPr>
                <w:lang w:val="lv-LV"/>
              </w:rPr>
              <w:t>3.</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Darbiniekam izmaksā naudas balvu, sakarā ar darbinieka, uzņēmuma svarīgu sasniegumu (notikumu).</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Naudas balvas apmērs kalendārā gada ietvaros nedrīkst pārsniegt darbiniekam noteiktās mēnešalgas apmēru.</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- 1.6.punkts.</w:t>
            </w:r>
          </w:p>
        </w:tc>
      </w:tr>
    </w:tbl>
    <w:p w:rsidR="000C2387" w:rsidRDefault="000C2387" w:rsidP="000C2387">
      <w:pPr>
        <w:rPr>
          <w:lang w:val="lv-LV"/>
        </w:rPr>
      </w:pPr>
    </w:p>
    <w:p w:rsidR="000C2387" w:rsidRDefault="000C2387" w:rsidP="000C2387">
      <w:pPr>
        <w:jc w:val="right"/>
        <w:rPr>
          <w:sz w:val="24"/>
          <w:szCs w:val="24"/>
          <w:lang w:val="lv-LV"/>
        </w:rPr>
      </w:pPr>
      <w:r>
        <w:rPr>
          <w:sz w:val="24"/>
          <w:szCs w:val="24"/>
          <w:lang w:val="lv-LV"/>
        </w:rPr>
        <w:t>2.tabula</w:t>
      </w:r>
    </w:p>
    <w:p w:rsidR="000C2387" w:rsidRDefault="000C2387" w:rsidP="000C2387">
      <w:pPr>
        <w:jc w:val="right"/>
        <w:rPr>
          <w:sz w:val="24"/>
          <w:szCs w:val="24"/>
          <w:lang w:val="lv-LV"/>
        </w:rPr>
      </w:pPr>
    </w:p>
    <w:p w:rsidR="000C2387" w:rsidRDefault="000C2387" w:rsidP="000C2387">
      <w:pPr>
        <w:jc w:val="center"/>
        <w:rPr>
          <w:b/>
          <w:sz w:val="24"/>
          <w:szCs w:val="24"/>
          <w:lang w:val="lv-LV"/>
        </w:rPr>
      </w:pPr>
    </w:p>
    <w:p w:rsidR="000C2387" w:rsidRDefault="000C2387" w:rsidP="000C2387">
      <w:pPr>
        <w:jc w:val="center"/>
        <w:rPr>
          <w:b/>
          <w:sz w:val="24"/>
          <w:szCs w:val="24"/>
          <w:lang w:val="lv-LV"/>
        </w:rPr>
      </w:pPr>
      <w:r>
        <w:rPr>
          <w:b/>
          <w:sz w:val="24"/>
          <w:szCs w:val="24"/>
          <w:lang w:val="lv-LV"/>
        </w:rPr>
        <w:t>Informācija par sociālajām garantijām</w:t>
      </w:r>
    </w:p>
    <w:p w:rsidR="000C2387" w:rsidRDefault="000C2387" w:rsidP="000C2387">
      <w:pPr>
        <w:jc w:val="right"/>
        <w:rPr>
          <w:lang w:val="lv-LV"/>
        </w:rPr>
      </w:pPr>
    </w:p>
    <w:tbl>
      <w:tblPr>
        <w:tblW w:w="1026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055"/>
        <w:gridCol w:w="3420"/>
        <w:gridCol w:w="2907"/>
      </w:tblGrid>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lastRenderedPageBreak/>
              <w:t>Nr. p.</w:t>
            </w:r>
          </w:p>
          <w:p w:rsidR="000C2387" w:rsidRDefault="000C2387">
            <w:pPr>
              <w:rPr>
                <w:lang w:val="lv-LV"/>
              </w:rPr>
            </w:pPr>
            <w:r>
              <w:rPr>
                <w:lang w:val="lv-LV"/>
              </w:rPr>
              <w:t>k.</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Sociālās garantijas veids</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Sociālās garantijas apmērs</w:t>
            </w:r>
          </w:p>
          <w:p w:rsidR="000C2387" w:rsidRDefault="000C2387">
            <w:pPr>
              <w:rPr>
                <w:lang w:val="lv-LV"/>
              </w:rPr>
            </w:pPr>
            <w:r>
              <w:rPr>
                <w:lang w:val="lv-LV"/>
              </w:rPr>
              <w:t>(</w:t>
            </w:r>
            <w:proofErr w:type="spellStart"/>
            <w:r>
              <w:rPr>
                <w:i/>
                <w:lang w:val="lv-LV"/>
              </w:rPr>
              <w:t>euro</w:t>
            </w:r>
            <w:proofErr w:type="spellEnd"/>
            <w:r>
              <w:rPr>
                <w:lang w:val="lv-LV"/>
              </w:rPr>
              <w:t xml:space="preserve"> vai %)</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Piešķiršanas pamatojums vai kritēriji</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1</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2</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3</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center"/>
              <w:rPr>
                <w:lang w:val="lv-LV"/>
              </w:rPr>
            </w:pPr>
            <w:r>
              <w:rPr>
                <w:lang w:val="lv-LV"/>
              </w:rPr>
              <w:t>4</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1.</w:t>
            </w:r>
          </w:p>
        </w:tc>
        <w:tc>
          <w:tcPr>
            <w:tcW w:w="3055" w:type="dxa"/>
            <w:tcBorders>
              <w:top w:val="single" w:sz="4" w:space="0" w:color="auto"/>
              <w:left w:val="single" w:sz="4" w:space="0" w:color="auto"/>
              <w:bottom w:val="single" w:sz="4" w:space="0" w:color="auto"/>
              <w:right w:val="single" w:sz="4" w:space="0" w:color="auto"/>
            </w:tcBorders>
          </w:tcPr>
          <w:p w:rsidR="000C2387" w:rsidRDefault="000C2387">
            <w:pPr>
              <w:jc w:val="both"/>
              <w:rPr>
                <w:color w:val="FF0000"/>
                <w:lang w:val="lv-LV"/>
              </w:rPr>
            </w:pPr>
            <w:r>
              <w:rPr>
                <w:lang w:val="lv-LV"/>
              </w:rPr>
              <w:t xml:space="preserve">Darbiniekam izmaksā atlaišanas pabalstu - </w:t>
            </w:r>
            <w:r>
              <w:rPr>
                <w:color w:val="000000"/>
                <w:lang w:val="lv-LV"/>
              </w:rPr>
              <w:t>izbeidzot darba tiesiskās attiecības pamatojoties uz Latvijas Republikas Darba likuma 114.pantu (darbinieka un darba devēja vienošanās).</w:t>
            </w:r>
          </w:p>
          <w:p w:rsidR="000C2387" w:rsidRDefault="000C2387">
            <w:pPr>
              <w:rPr>
                <w:lang w:val="lv-LV"/>
              </w:rPr>
            </w:pP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 xml:space="preserve">Pabalsts tiek izmaksāts </w:t>
            </w:r>
            <w:r>
              <w:rPr>
                <w:color w:val="000000"/>
                <w:lang w:val="lv-LV"/>
              </w:rPr>
              <w:t>70 procentu apmērā no mēneša vidējās izpeļņas. Šādā gadījumā atlaišanas pabalsta izmaksu saskaņo ar Kapitāldaļu turētāju.</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- 3.2.punkts.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2.</w:t>
            </w:r>
          </w:p>
        </w:tc>
        <w:tc>
          <w:tcPr>
            <w:tcW w:w="3055" w:type="dxa"/>
            <w:tcBorders>
              <w:top w:val="single" w:sz="4" w:space="0" w:color="auto"/>
              <w:left w:val="single" w:sz="4" w:space="0" w:color="auto"/>
              <w:bottom w:val="single" w:sz="4" w:space="0" w:color="auto"/>
              <w:right w:val="single" w:sz="4" w:space="0" w:color="auto"/>
            </w:tcBorders>
          </w:tcPr>
          <w:p w:rsidR="000C2387" w:rsidRDefault="000C2387">
            <w:pPr>
              <w:jc w:val="both"/>
              <w:rPr>
                <w:lang w:val="lv-LV"/>
              </w:rPr>
            </w:pPr>
            <w:r>
              <w:rPr>
                <w:lang w:val="lv-LV"/>
              </w:rPr>
              <w:t xml:space="preserve">Darbiniekam izmaksā pabalstu sakarā ar ģimenes locekļa (laulātā, bērna, vecāku, vecvecāku, adoptētāja vai adoptētā, brāļa vai māsas) vai apgādājamā nāvi. </w:t>
            </w:r>
          </w:p>
          <w:p w:rsidR="000C2387" w:rsidRDefault="000C2387">
            <w:pPr>
              <w:rPr>
                <w:lang w:val="lv-LV"/>
              </w:rPr>
            </w:pP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Pabalsts izmaksājams ne vairāk kā vienas minimālās mēneša darba algas apmērā.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- 3.4.punkts.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3.</w:t>
            </w:r>
          </w:p>
        </w:tc>
        <w:tc>
          <w:tcPr>
            <w:tcW w:w="3055" w:type="dxa"/>
            <w:tcBorders>
              <w:top w:val="single" w:sz="4" w:space="0" w:color="auto"/>
              <w:left w:val="single" w:sz="4" w:space="0" w:color="auto"/>
              <w:bottom w:val="single" w:sz="4" w:space="0" w:color="auto"/>
              <w:right w:val="single" w:sz="4" w:space="0" w:color="auto"/>
            </w:tcBorders>
          </w:tcPr>
          <w:p w:rsidR="000C2387" w:rsidRDefault="000C2387">
            <w:pPr>
              <w:jc w:val="both"/>
              <w:rPr>
                <w:color w:val="000000"/>
                <w:lang w:val="lv-LV"/>
              </w:rPr>
            </w:pPr>
            <w:r>
              <w:rPr>
                <w:color w:val="000000"/>
                <w:lang w:val="lv-LV"/>
              </w:rPr>
              <w:t xml:space="preserve">Izmaksā pabalstu - darbinieka nāves gadījumā - ģimenes loceklim vai personai, kura uzņēmusies darbinieka apbedīšanu. </w:t>
            </w:r>
          </w:p>
          <w:p w:rsidR="000C2387" w:rsidRDefault="000C2387">
            <w:pPr>
              <w:jc w:val="both"/>
              <w:rPr>
                <w:lang w:val="lv-LV"/>
              </w:rPr>
            </w:pP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color w:val="000000"/>
                <w:lang w:val="lv-LV"/>
              </w:rPr>
              <w:t>Tiek izmaksāts vienreizējs pabalsts darbiniekam noteiktās mēnešalgas apmērā.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- 3.3.punkts.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4.</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Darbinieks saņem pabalstu, kuras apgādībā ir bērns invalīds līdz 18 gadu vecumam.</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Pabalsts izmaksājams līdz 50 procentiem no mēnešalgas vienu reizi kalendāra gadā.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- 3.5.punkts.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5.</w:t>
            </w:r>
          </w:p>
        </w:tc>
        <w:tc>
          <w:tcPr>
            <w:tcW w:w="3055" w:type="dxa"/>
            <w:tcBorders>
              <w:top w:val="single" w:sz="4" w:space="0" w:color="auto"/>
              <w:left w:val="single" w:sz="4" w:space="0" w:color="auto"/>
              <w:bottom w:val="single" w:sz="4" w:space="0" w:color="auto"/>
              <w:right w:val="single" w:sz="4" w:space="0" w:color="auto"/>
            </w:tcBorders>
          </w:tcPr>
          <w:p w:rsidR="000C2387" w:rsidRDefault="000C2387">
            <w:pPr>
              <w:jc w:val="both"/>
              <w:rPr>
                <w:color w:val="FF0000"/>
                <w:lang w:val="lv-LV"/>
              </w:rPr>
            </w:pPr>
            <w:r>
              <w:rPr>
                <w:color w:val="000000"/>
                <w:lang w:val="lv-LV"/>
              </w:rPr>
              <w:t xml:space="preserve">Darbiniekam kompensē mācību izdevumus, ja tā pēc darba devēja iniciatīvas vai savstarpējās vienošanās sekmīgi mācās valsts akreditētā augstākās izglītības iestādē vai ārvalsts mācību iestādē, kuras izdotie diplomi tiek atzīti Latvijā, lai iegūtu amata pienākumu izpildei nepieciešamās zināšanas. </w:t>
            </w:r>
          </w:p>
          <w:p w:rsidR="000C2387" w:rsidRDefault="000C2387">
            <w:pPr>
              <w:jc w:val="both"/>
              <w:rPr>
                <w:color w:val="000000"/>
                <w:lang w:val="lv-LV"/>
              </w:rPr>
            </w:pP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Izdevumi tiek kompensēti pilnībā vai daļēji no noteiktās gada mācību maksas.</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- 3.6.punkts.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lastRenderedPageBreak/>
              <w:t>6.</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Darbiniekiem, kuru amata pienākumu pildīšanai tiek izmantots dators, tiek izmaksāta kompensācija par speciālo medicīniski optisko redzes korekcijas līdzekļu (briļļu) iegādi.</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 xml:space="preserve">Kompensācija tiek izmaksāta EUR 40,00 (četrdesmit </w:t>
            </w:r>
            <w:proofErr w:type="spellStart"/>
            <w:r>
              <w:rPr>
                <w:i/>
                <w:color w:val="000000"/>
                <w:lang w:val="lv-LV"/>
              </w:rPr>
              <w:t>euro</w:t>
            </w:r>
            <w:proofErr w:type="spellEnd"/>
            <w:r>
              <w:rPr>
                <w:color w:val="000000"/>
                <w:lang w:val="lv-LV"/>
              </w:rPr>
              <w:t>) apmērā.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Darba koplīguma 4.1 punkts.</w:t>
            </w:r>
          </w:p>
        </w:tc>
      </w:tr>
      <w:tr w:rsidR="000C2387" w:rsidTr="000C2387">
        <w:tc>
          <w:tcPr>
            <w:tcW w:w="878" w:type="dxa"/>
            <w:tcBorders>
              <w:top w:val="single" w:sz="4" w:space="0" w:color="auto"/>
              <w:left w:val="single" w:sz="4" w:space="0" w:color="auto"/>
              <w:bottom w:val="single" w:sz="4" w:space="0" w:color="auto"/>
              <w:right w:val="single" w:sz="4" w:space="0" w:color="auto"/>
            </w:tcBorders>
            <w:hideMark/>
          </w:tcPr>
          <w:p w:rsidR="000C2387" w:rsidRDefault="000C2387">
            <w:pPr>
              <w:rPr>
                <w:lang w:val="lv-LV"/>
              </w:rPr>
            </w:pPr>
            <w:r>
              <w:rPr>
                <w:lang w:val="lv-LV"/>
              </w:rPr>
              <w:t xml:space="preserve">7. </w:t>
            </w:r>
          </w:p>
        </w:tc>
        <w:tc>
          <w:tcPr>
            <w:tcW w:w="3055"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Darbiniekiem, ar kuriem nodibinātas darba tiesiskās attiecības uz nenoteiktu laiku un, kuri uzņēmumā ir nostrādājuši vairāk kā vienu gadu, tiek veikta veselības apdrošināšana.</w:t>
            </w:r>
          </w:p>
        </w:tc>
        <w:tc>
          <w:tcPr>
            <w:tcW w:w="3420" w:type="dxa"/>
            <w:tcBorders>
              <w:top w:val="single" w:sz="4" w:space="0" w:color="auto"/>
              <w:left w:val="single" w:sz="4" w:space="0" w:color="auto"/>
              <w:bottom w:val="single" w:sz="4" w:space="0" w:color="auto"/>
              <w:right w:val="single" w:sz="4" w:space="0" w:color="auto"/>
            </w:tcBorders>
            <w:hideMark/>
          </w:tcPr>
          <w:p w:rsidR="000C2387" w:rsidRDefault="000C2387">
            <w:pPr>
              <w:jc w:val="both"/>
              <w:rPr>
                <w:color w:val="000000"/>
                <w:lang w:val="lv-LV"/>
              </w:rPr>
            </w:pPr>
            <w:r>
              <w:rPr>
                <w:color w:val="000000"/>
                <w:lang w:val="lv-LV"/>
              </w:rPr>
              <w:t>Veselības apdrošināšanas summa tiek kompensēta pilnībā</w:t>
            </w:r>
          </w:p>
        </w:tc>
        <w:tc>
          <w:tcPr>
            <w:tcW w:w="2907" w:type="dxa"/>
            <w:tcBorders>
              <w:top w:val="single" w:sz="4" w:space="0" w:color="auto"/>
              <w:left w:val="single" w:sz="4" w:space="0" w:color="auto"/>
              <w:bottom w:val="single" w:sz="4" w:space="0" w:color="auto"/>
              <w:right w:val="single" w:sz="4" w:space="0" w:color="auto"/>
            </w:tcBorders>
            <w:hideMark/>
          </w:tcPr>
          <w:p w:rsidR="000C2387" w:rsidRDefault="000C2387">
            <w:pPr>
              <w:jc w:val="both"/>
              <w:rPr>
                <w:lang w:val="lv-LV"/>
              </w:rPr>
            </w:pPr>
            <w:r>
              <w:rPr>
                <w:lang w:val="lv-LV"/>
              </w:rPr>
              <w:t>21.12.2017. SIA „Daugavpils dzīvokļu un komunālās saimniecības uzņēmums” darbinieku atlīdzības noteikšanas svarīgākie nosacījumi pabalstu  un kompensāciju izmaksai, izdevumu segšanai, prēmēšanai un citādai materiālajai stimulēšanai, mēnešalgu (darba algu) maksimālie apmēri, kā arī citi ierobežojošo nosacījumi - 3.7.punkts.</w:t>
            </w:r>
          </w:p>
        </w:tc>
      </w:tr>
    </w:tbl>
    <w:p w:rsidR="000C2387" w:rsidRDefault="000C2387" w:rsidP="000C2387">
      <w:pPr>
        <w:rPr>
          <w:lang w:val="lv-LV"/>
        </w:rPr>
      </w:pPr>
    </w:p>
    <w:p w:rsidR="003D40A2" w:rsidRPr="000C2387" w:rsidRDefault="003D40A2">
      <w:pPr>
        <w:rPr>
          <w:lang w:val="lv-LV"/>
        </w:rPr>
      </w:pPr>
    </w:p>
    <w:sectPr w:rsidR="003D40A2" w:rsidRPr="000C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7"/>
    <w:rsid w:val="000C2387"/>
    <w:rsid w:val="001061B7"/>
    <w:rsid w:val="003308AF"/>
    <w:rsid w:val="003D40A2"/>
    <w:rsid w:val="00B67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E5E9-F33B-4D89-9B0B-E55C8DAB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2387"/>
    <w:pPr>
      <w:spacing w:after="0" w:line="240" w:lineRule="auto"/>
    </w:pPr>
    <w:rPr>
      <w:rFonts w:ascii="Times New Roman" w:eastAsia="Times New Roman" w:hAnsi="Times New Roman" w:cs="Times New Roman"/>
      <w:sz w:val="20"/>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4229</Words>
  <Characters>2412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4</cp:revision>
  <dcterms:created xsi:type="dcterms:W3CDTF">2018-02-26T13:49:00Z</dcterms:created>
  <dcterms:modified xsi:type="dcterms:W3CDTF">2018-02-26T14:00:00Z</dcterms:modified>
</cp:coreProperties>
</file>