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DF" w:rsidRDefault="00D749B4">
      <w:pPr>
        <w:spacing w:after="0" w:line="240" w:lineRule="auto"/>
        <w:jc w:val="center"/>
        <w:textAlignment w:val="baseline"/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lv-LV"/>
        </w:rPr>
        <w:t>Daugavpils valstspilsētas pašvaldības domes 2025.gada 30.aprīla saistošo noteikumu Nr.8 “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Līdzfinansējums daudzdzīvokļu dzīvojamām mājām piesaistīto</w:t>
      </w:r>
    </w:p>
    <w:p w:rsidR="00EC5EDF" w:rsidRDefault="00D749B4">
      <w:pPr>
        <w:spacing w:after="0" w:line="240" w:lineRule="auto"/>
        <w:jc w:val="center"/>
        <w:textAlignment w:val="baseline"/>
      </w:pPr>
      <w:r>
        <w:rPr>
          <w:rFonts w:ascii="Times New Roman" w:hAnsi="Times New Roman"/>
          <w:b/>
          <w:bCs/>
          <w:sz w:val="24"/>
          <w:szCs w:val="24"/>
          <w:lang w:val="lv-LV"/>
        </w:rPr>
        <w:t>zemesgabalu labiekārtošanai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paskaidrojuma raksts</w:t>
      </w:r>
    </w:p>
    <w:p w:rsidR="00EC5EDF" w:rsidRDefault="00EC5E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9484" w:type="dxa"/>
        <w:tblInd w:w="-2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1"/>
        <w:gridCol w:w="5953"/>
      </w:tblGrid>
      <w:tr w:rsidR="00EC5EDF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spacing w:after="0" w:line="240" w:lineRule="auto"/>
              <w:ind w:left="123" w:right="39" w:firstLine="90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Paskaidrojuma raksta sadaļa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5EDF" w:rsidRDefault="00D749B4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Norādāmā informācija </w:t>
            </w:r>
          </w:p>
        </w:tc>
      </w:tr>
      <w:tr w:rsidR="00EC5EDF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Mērķis un nepieciešamības pamatojums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EC5EDF">
            <w:pPr>
              <w:pStyle w:val="tv213"/>
              <w:shd w:val="clear" w:color="auto" w:fill="FFFFFF"/>
              <w:spacing w:before="0" w:after="0"/>
              <w:ind w:left="600"/>
              <w:jc w:val="both"/>
              <w:rPr>
                <w:shd w:val="clear" w:color="auto" w:fill="FFFFFF"/>
                <w:lang w:val="lv-LV"/>
              </w:rPr>
            </w:pPr>
          </w:p>
          <w:p w:rsidR="00EC5EDF" w:rsidRPr="00736EDC" w:rsidRDefault="00D749B4">
            <w:pPr>
              <w:pStyle w:val="tv213"/>
              <w:shd w:val="clear" w:color="auto" w:fill="FFFFFF"/>
              <w:spacing w:before="0" w:after="0"/>
              <w:jc w:val="both"/>
              <w:rPr>
                <w:lang w:val="lv-LV"/>
              </w:rPr>
            </w:pPr>
            <w:r>
              <w:rPr>
                <w:shd w:val="clear" w:color="auto" w:fill="FFFFFF"/>
                <w:lang w:val="lv-LV"/>
              </w:rPr>
              <w:t>Saskaņā ar likuma “</w:t>
            </w:r>
            <w:r>
              <w:rPr>
                <w:bCs/>
                <w:shd w:val="clear" w:color="auto" w:fill="FFFFFF"/>
                <w:lang w:val="lv-LV"/>
              </w:rPr>
              <w:t>Par palīdzību dzīvokļa jautājumu risināšanā”</w:t>
            </w:r>
            <w:r>
              <w:rPr>
                <w:shd w:val="clear" w:color="auto" w:fill="FFFFFF"/>
                <w:lang w:val="lv-LV"/>
              </w:rPr>
              <w:t xml:space="preserve"> 27.</w:t>
            </w:r>
            <w:r>
              <w:rPr>
                <w:shd w:val="clear" w:color="auto" w:fill="FFFFFF"/>
                <w:vertAlign w:val="superscript"/>
                <w:lang w:val="lv-LV"/>
              </w:rPr>
              <w:t xml:space="preserve">2 </w:t>
            </w:r>
            <w:r>
              <w:rPr>
                <w:shd w:val="clear" w:color="auto" w:fill="FFFFFF"/>
                <w:lang w:val="lv-LV"/>
              </w:rPr>
              <w:t xml:space="preserve">panta piekto daļu kārtību, kādā tiek sniegta šā panta otrajā daļā minētā </w:t>
            </w:r>
            <w:r>
              <w:rPr>
                <w:shd w:val="clear" w:color="auto" w:fill="FFFFFF"/>
                <w:lang w:val="lv-LV"/>
              </w:rPr>
              <w:t xml:space="preserve">palīdzība, un palīdzības apmēru nosaka pašvaldība savos saistošajos noteikumos. Šā panta otrās daļas 4.un 5.punkts nosaka, ka pašvaldība var sniegt palīdzību dzīvojamās mājas īpašniekam (īpašniekiem) vai dzīvokļu īpašniekiem, piešķirot finansējumu </w:t>
            </w:r>
            <w:r>
              <w:rPr>
                <w:lang w:val="lv-LV"/>
              </w:rPr>
              <w:t>energoef</w:t>
            </w:r>
            <w:r>
              <w:rPr>
                <w:lang w:val="lv-LV"/>
              </w:rPr>
              <w:t>ektivitātes pasākumu veikšanai dzīvojamā mājā un dzīvojamai mājai piesaistītā zemesgabala labiekārtošanai.</w:t>
            </w:r>
          </w:p>
          <w:p w:rsidR="00EC5EDF" w:rsidRDefault="00D749B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2026. gada 31. augustā tiks noslēgta atbalsta programma daudzdzīvokļu dzīvojamo māju atjaunošanai, kas tiek īstenota Ministru kabineta 2022. gada 14.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jūlija noteikumu Nr. 460 "Eiropas Savienības Atveseļošanas un noturības mehānisma plāna 1.2. reformu un investīciju virziena "Energoefektivitātes uzlabošana" 1.2.1.1.i. investīcijas "Daudzdzīvokļu māju energoefektivitātes uzlabošana un pāreja uz atjaunoja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mo energoresursu tehnoloģiju izmantošanu" īstenošanas noteikumi" (turpmāk tekstā- 1.2.1.1.i. investīcija) ietvaros. Kopumā programmā iesniegti 168 projekti par kopējo projektu summu 88 milj. EUR, rezervējot visu 1.2.1.1.i. investīcijai pieejamo finansējumu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Līdz ar to 2024. gada 5.septembrī jaunu pieteikumu pieņemšana tika pārtraukta.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  <w:p w:rsidR="00EC5EDF" w:rsidRDefault="00D749B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Lai nodrošinātu atbalstu daudzdzīvokļu māju energoefektivitātes uzlabošanai, tika izstrādāta jauna atbalsta programma daudzdzīvokļu māju energoefektivitātes uzlabošanai un ap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stiprināti jauni Ministru kabineta 2024.gada 17.decembra noteikumi Nr.880 „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v-LV"/>
              </w:rPr>
              <w:t>Atbalsta programmas nosacījumi energoefektivitātes paaugstināšanas pasākumu īstenošanai daudzdzīvokļu dzīvojamās mājās” (turpmāk – MK Nr.880)</w:t>
            </w:r>
          </w:p>
          <w:p w:rsidR="00EC5EDF" w:rsidRDefault="00D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Jauno MK Nr.880 noteikumu anotācijā</w:t>
            </w:r>
          </w:p>
          <w:p w:rsidR="00EC5EDF" w:rsidRPr="00736EDC" w:rsidRDefault="00D749B4">
            <w:pPr>
              <w:shd w:val="clear" w:color="auto" w:fill="FFFFFF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(</w:t>
            </w:r>
            <w:hyperlink r:id="rId7" w:history="1">
              <w:r>
                <w:rPr>
                  <w:rStyle w:val="Hyperlink"/>
                  <w:lang w:val="lv-LV"/>
                </w:rPr>
                <w:t>https://tapportals.mk.gov.lv/annotation/666030b5-f2aa-41d7-8ac1-44d6a7100171</w:t>
              </w:r>
            </w:hyperlink>
            <w:r>
              <w:rPr>
                <w:rFonts w:ascii="Times New Roman" w:hAnsi="Times New Roman"/>
                <w:color w:val="525252"/>
                <w:sz w:val="24"/>
                <w:szCs w:val="24"/>
                <w:shd w:val="clear" w:color="auto" w:fill="FFFFFF"/>
                <w:lang w:val="lv-LV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norādīts, ka lai sekmētu virzību uz daudzdzīvokļu māju atjaunošanu arī Latgales plānoš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anas reģionā, ir nepieciešams nodrošināt finansējumu projektiem arī atsevišķu pasākumu īstenošanai (neveicot kompleksu ēku atjaunošanu) un pieļaujot kopējās primārās enerģijas samazinājumu mazākā apmērā kā 30 % (bet ne mazāk kā 10%, lai nodrošinātu program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mas virsmērķi). Šāda pieeja nodrošinātu, ka atbalsta programmas ietvaros tiktu atbalstīti arī tie projekti, kas sasniedz nelielu kopējās primārās enerģijas samazinājumu, piemēram, projekti, kuru ietvaros tiek veikta tikai logu nomaiņa.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Šāda pieeja Latgales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plānošanas reģionam izvēlēta,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lastRenderedPageBreak/>
              <w:t>pamatojoties ar zemiem apguves datiem iepriekšējos Eiropas Savienības plānošanas periodu ietvaros, kur Eiropas Savienības fondu plānošanas perioda 2007.-2013. gada ietvaros kopā īstenoti 740 projekti, no tiem Latgales plānoša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nas reģionā – 57 jeb 7 %. Eiropas Savienības fondu plānošanas perioda 2014.-2020. gads ietvaros kopā atjaunotas 606 daudzdzīvokļu mājas, no kurām Latgales plānošanas reģionā 24 (4%). Atjaunošanas un noturības mehānisma ietvaros šobrīd dažādos statusos (rez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ervēta kapitāla atlaide, precizē projektus) ir iesniegti 6 daudzdzīvokļu dzīvojamo māju pieteikumi. </w:t>
            </w:r>
          </w:p>
          <w:p w:rsidR="00EC5EDF" w:rsidRPr="00736EDC" w:rsidRDefault="00D749B4">
            <w:pPr>
              <w:shd w:val="clear" w:color="auto" w:fill="FFFFFF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Ņemot vērā, ka dzīvokļu īpašnieku aktivitāte dzīvojamās mājas energoefektivitātes uzlabošanā ir visai zema,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pašvaldība iecerējusi sniegt daudzdzīvokļu māju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dzīvokļu īpašniekiem atbalstu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tehniskās dokumentācijas un ēkas energosertifikāta izstrādei:</w:t>
            </w:r>
          </w:p>
          <w:p w:rsidR="00EC5EDF" w:rsidRPr="00736EDC" w:rsidRDefault="00D749B4">
            <w:pPr>
              <w:shd w:val="clear" w:color="auto" w:fill="FFFFFF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100% apmērā,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veicot pilnu dzīvojamās mājas renovāciju,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bet ne vairāk kā 20000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lv-LV"/>
              </w:rPr>
              <w:t xml:space="preserve">eiro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bez PVN; </w:t>
            </w:r>
          </w:p>
          <w:p w:rsidR="00EC5EDF" w:rsidRPr="00736EDC" w:rsidRDefault="00D749B4">
            <w:pPr>
              <w:shd w:val="clear" w:color="auto" w:fill="FFFFFF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% apmērā, veicot atsevišķus energoefektivitātes uzlabošanas pasākum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us dzīvojamajā mājā, bet ne vairāk kā 10000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lv-LV"/>
              </w:rPr>
              <w:t xml:space="preserve">eiro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bez PVN, </w:t>
            </w:r>
          </w:p>
          <w:p w:rsidR="00EC5EDF" w:rsidRPr="00736EDC" w:rsidRDefault="00D749B4">
            <w:pPr>
              <w:shd w:val="clear" w:color="auto" w:fill="FFFFFF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lai motivētu dzīvokļu īpašniekus piedalīties Eiropas Savienības struktūrfondu finansētajā atbalsta programmā. Šis atbalsts tiks piešķirts uzreiz pēc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akciju sabiedrības „Attīstības finanšu institūci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ja Altum” lēmuma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par aizdevuma vai garantijas piešķiršanu, kurā ir noteikts atbalsta maksimālais apjoms un maksimālā pieejamā kapitāla atlaide) iesniegšanas pašvaldībā.</w:t>
            </w:r>
          </w:p>
          <w:p w:rsidR="00EC5EDF" w:rsidRPr="00736EDC" w:rsidRDefault="00D749B4">
            <w:pPr>
              <w:shd w:val="clear" w:color="auto" w:fill="FFFFFF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Turklāt, ja dzīvojamā māja pieņēmusi lēmumu piedalīties Eiropas Savienības struktūrfon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du programmā pilnai mājai renovācijai, tā var pretendēt uz pašvaldības finansējumu būvdarbiem, kas ir iekļauti daudzdzīvokļu dzīvojamās mājas pilnas renovācijas tehniskajā dokumentācijā, bet nav finansēti no Eiropas Savienības struktūrfondu līdzekļiem, 10.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00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lv-LV"/>
              </w:rPr>
              <w:t>eiro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lv-LV"/>
              </w:rPr>
              <w:t xml:space="preserve"> uz 1m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 dzīvokļu kopējās platības bez PVN, bet ne vairāk kā 50 000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lv-LV"/>
              </w:rPr>
              <w:t xml:space="preserve">eiro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bez PVN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lv-LV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 vai uz līdzfinansējumu zemesgabala labiekārtošanai noteikumos noteiktajā apmērā.</w:t>
            </w:r>
          </w:p>
          <w:p w:rsidR="00EC5EDF" w:rsidRDefault="00D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Jaunu pašvaldības atbalsta veidu ieviešanai ir jāveic grozījumi saistošajos noteikumos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. Kā arī, ņemot vērā, ka ir pieņemti jaunie Ministru kabineta noteikumi, kas regulē līdzfinansējuma piešķiršanu daudzdzīvokļu māju energoefektivitātes uzlabošanai, saistošajos noteikumos ir jāizdara tehniskie grozījumi. </w:t>
            </w:r>
          </w:p>
          <w:p w:rsidR="00EC5EDF" w:rsidRDefault="00D749B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Saistošie noteikumi ir jāpapildina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ar </w:t>
            </w:r>
            <w:r>
              <w:rPr>
                <w:rFonts w:ascii="Times New Roman" w:hAnsi="Times New Roman"/>
                <w:i/>
                <w:iCs/>
                <w:color w:val="414142"/>
                <w:sz w:val="24"/>
                <w:szCs w:val="24"/>
              </w:rPr>
              <w:t>de minimis</w:t>
            </w:r>
            <w:r>
              <w:rPr>
                <w:rFonts w:ascii="Times New Roman" w:hAnsi="Times New Roman"/>
                <w:color w:val="41414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atbalsta piešķiršanas nosacījumiem.</w:t>
            </w:r>
          </w:p>
          <w:p w:rsidR="00EC5EDF" w:rsidRDefault="00D749B4">
            <w:pPr>
              <w:pStyle w:val="NormalWeb"/>
              <w:shd w:val="clear" w:color="auto" w:fill="FFFFFF"/>
              <w:spacing w:before="0" w:after="0"/>
              <w:jc w:val="both"/>
            </w:pPr>
            <w:r>
              <w:rPr>
                <w:lang w:val="lv-LV"/>
              </w:rPr>
              <w:t>Saistošo noteikumu projekts izstrādāts saskaņā ar Finanšu ministrijas metodiskajiem norādījumiem un paredz papildināt pašvaldībā iesniedzamo informāciju </w:t>
            </w:r>
            <w:r>
              <w:rPr>
                <w:i/>
                <w:iCs/>
                <w:lang w:val="lv-LV"/>
              </w:rPr>
              <w:t>de minimis</w:t>
            </w:r>
            <w:r>
              <w:rPr>
                <w:lang w:val="lv-LV"/>
              </w:rPr>
              <w:t>  atbalsta saņemšanai (saistošo noteikumu 8</w:t>
            </w:r>
            <w:r>
              <w:rPr>
                <w:lang w:val="lv-LV"/>
              </w:rPr>
              <w:t xml:space="preserve">.5.apakšpunkts) un </w:t>
            </w:r>
            <w:r>
              <w:rPr>
                <w:i/>
                <w:iCs/>
                <w:lang w:val="lv-LV"/>
              </w:rPr>
              <w:t>de minimis</w:t>
            </w:r>
            <w:r>
              <w:rPr>
                <w:lang w:val="lv-LV"/>
              </w:rPr>
              <w:t> atbalsta nosacījumus (saistošo noteikumu 7.</w:t>
            </w:r>
            <w:r>
              <w:rPr>
                <w:vertAlign w:val="superscript"/>
                <w:lang w:val="lv-LV"/>
              </w:rPr>
              <w:t>1</w:t>
            </w:r>
            <w:r>
              <w:rPr>
                <w:lang w:val="lv-LV"/>
              </w:rPr>
              <w:t xml:space="preserve"> -7.</w:t>
            </w:r>
            <w:r>
              <w:rPr>
                <w:vertAlign w:val="superscript"/>
                <w:lang w:val="lv-LV"/>
              </w:rPr>
              <w:t>6</w:t>
            </w:r>
            <w:r>
              <w:rPr>
                <w:lang w:val="lv-LV"/>
              </w:rPr>
              <w:t xml:space="preserve"> un  15.</w:t>
            </w:r>
            <w:r>
              <w:rPr>
                <w:vertAlign w:val="superscript"/>
                <w:lang w:val="lv-LV"/>
              </w:rPr>
              <w:t>1</w:t>
            </w:r>
            <w:r>
              <w:rPr>
                <w:lang w:val="lv-LV"/>
              </w:rPr>
              <w:t>-15.</w:t>
            </w:r>
            <w:r>
              <w:rPr>
                <w:vertAlign w:val="superscript"/>
                <w:lang w:val="lv-LV"/>
              </w:rPr>
              <w:t xml:space="preserve">6 </w:t>
            </w:r>
            <w:r>
              <w:rPr>
                <w:lang w:val="lv-LV"/>
              </w:rPr>
              <w:t>punkts).</w:t>
            </w:r>
          </w:p>
        </w:tc>
      </w:tr>
      <w:tr w:rsidR="00EC5EDF" w:rsidRPr="00736ED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Fiskālā ietekme uz pašvaldības budžetu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Saistošo noteikumu grozījumu izpildei nepieciešamais pašvaldības finansējums būs atkarīgs no dzīvojamo māju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īpašnieku aktivitātes, iesaistoties dzīvojamās mājas energoefektivitātes uzlabošanas pasākumos ar akciju sabiedrības „Altum” atbalstu.</w:t>
            </w:r>
          </w:p>
          <w:p w:rsidR="00EC5EDF" w:rsidRDefault="00EC5EDF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EC5EDF" w:rsidRPr="00736ED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Sociālā ietekme, ietekme uz vidi, iedzīvotāju veselību, uzņēmējdarbības vidi pašvaldības teritorijā, kā arī plānotā reg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ulējuma ietekme uz konkurenci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Saistošajiem noteikumiem nav sociālas ietekmes vai ietekmes uz vidi, iedzīvotāju veselību. </w:t>
            </w:r>
          </w:p>
          <w:p w:rsidR="00EC5EDF" w:rsidRPr="00736EDC" w:rsidRDefault="00D749B4">
            <w:pPr>
              <w:spacing w:after="0"/>
              <w:jc w:val="both"/>
              <w:textAlignment w:val="baseline"/>
              <w:rPr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Saistošie noteikumi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pozitīvi ietekmēs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to daudzdzīvokļu māju īpašniekus, kuri būs pieteikušies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akciju sabiedrības „Altum” atbalstam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dzīvojamās mājas energoefektivitātes uzlabošanas pasākumiem.</w:t>
            </w:r>
          </w:p>
        </w:tc>
      </w:tr>
      <w:tr w:rsidR="00EC5EDF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Ietekme uz administratīvajām procedūrām un to izmaksām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Esošās administratīvās procedūras netiek mainītas. Pieteikumus izskata, lēmumus pieņem,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atbalsta pretendenta izvērtēšanu atbilstoši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ar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Eiropas Komisijas 2023. gada 13. decembra Regulu (ES) Nr.  </w:t>
            </w:r>
            <w:hyperlink r:id="rId8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2023/2831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par Līguma par Eiropas Savienības darbību </w:t>
            </w:r>
            <w:hyperlink r:id="rId9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107. 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un </w:t>
            </w:r>
            <w:hyperlink r:id="rId10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108.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panta piemērošanu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de minimis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atbalstam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nosacījumiem uz līdzfinansējuma piešķiršanas brīdi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veic Mājokļu komisija.</w:t>
            </w:r>
          </w:p>
        </w:tc>
      </w:tr>
      <w:tr w:rsidR="00EC5E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Ietekme uz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pašvaldības funkcijām un cilvēkresursiem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Pr="00736EDC" w:rsidRDefault="00D749B4">
            <w:pPr>
              <w:pStyle w:val="tv213"/>
              <w:shd w:val="clear" w:color="auto" w:fill="FFFFFF"/>
              <w:spacing w:before="0" w:after="0" w:line="293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Saistošie noteikumi nodrošina likuma “Par palīdzību dzīvokļa jautājumu risināšanā” 27.</w:t>
            </w:r>
            <w:r>
              <w:rPr>
                <w:vertAlign w:val="superscript"/>
                <w:lang w:val="lv-LV"/>
              </w:rPr>
              <w:t>2</w:t>
            </w:r>
            <w:r>
              <w:rPr>
                <w:lang w:val="lv-LV"/>
              </w:rPr>
              <w:t xml:space="preserve"> panta otrās daļas 4.punktā noteiktā izpildi, proti, pašvaldība var sniegt palīdzību dzīvojamās mājas īpašniekam (īpašniekiem) </w:t>
            </w:r>
            <w:r>
              <w:rPr>
                <w:lang w:val="lv-LV"/>
              </w:rPr>
              <w:t>vai dzīvokļu īpašniekiem, piešķirot finansējumu energoefektivitātes pasākumu veikšanai dzīvojamā mājā.</w:t>
            </w:r>
          </w:p>
          <w:p w:rsidR="00EC5EDF" w:rsidRDefault="00D749B4">
            <w:pPr>
              <w:pStyle w:val="NormalWeb"/>
              <w:shd w:val="clear" w:color="auto" w:fill="FFFFFF"/>
              <w:spacing w:before="20" w:line="293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Papildu cilvēkresursu iesaiste saistošo noteikumu īstenošanā netiek paredzēta.</w:t>
            </w:r>
          </w:p>
        </w:tc>
      </w:tr>
      <w:tr w:rsidR="00EC5EDF" w:rsidRPr="00736ED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Informācija par izpildes nodrošināšanu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pStyle w:val="NormalWeb"/>
              <w:shd w:val="clear" w:color="auto" w:fill="FFFFFF"/>
              <w:spacing w:before="20" w:after="0" w:line="293" w:lineRule="atLeast"/>
              <w:jc w:val="both"/>
              <w:textAlignment w:val="baseline"/>
              <w:rPr>
                <w:lang w:val="lv-LV"/>
              </w:rPr>
            </w:pPr>
            <w:r>
              <w:rPr>
                <w:lang w:val="lv-LV"/>
              </w:rPr>
              <w:t xml:space="preserve">Saistošo noteikumu izpildes </w:t>
            </w:r>
            <w:r>
              <w:rPr>
                <w:lang w:val="lv-LV"/>
              </w:rPr>
              <w:t>nodrošināšanai papildu resursi nav nepieciešami.</w:t>
            </w:r>
          </w:p>
          <w:p w:rsidR="00EC5EDF" w:rsidRDefault="00D749B4">
            <w:pPr>
              <w:pStyle w:val="NormalWeb"/>
              <w:shd w:val="clear" w:color="auto" w:fill="FFFFFF"/>
              <w:spacing w:before="20" w:after="0" w:line="293" w:lineRule="atLeast"/>
              <w:jc w:val="both"/>
              <w:textAlignment w:val="baseline"/>
              <w:rPr>
                <w:lang w:val="lv-LV"/>
              </w:rPr>
            </w:pPr>
            <w:r>
              <w:rPr>
                <w:lang w:val="lv-LV"/>
              </w:rPr>
              <w:t>Saistošo noteikumu izpildē iesaistītā institūcija ir pašvaldības domes izveidotā Mājokļu komisija.</w:t>
            </w:r>
          </w:p>
          <w:p w:rsidR="00EC5EDF" w:rsidRDefault="00EC5EDF">
            <w:pPr>
              <w:pStyle w:val="NormalWeb"/>
              <w:shd w:val="clear" w:color="auto" w:fill="FFFFFF"/>
              <w:spacing w:before="20" w:after="0" w:line="293" w:lineRule="atLeast"/>
              <w:jc w:val="both"/>
              <w:textAlignment w:val="baseline"/>
              <w:rPr>
                <w:lang w:val="lv-LV"/>
              </w:rPr>
            </w:pPr>
          </w:p>
        </w:tc>
      </w:tr>
      <w:tr w:rsidR="00EC5EDF" w:rsidRPr="00736ED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Prasību un izmaksu samērīgums pret ieguvumiem, ko sniedz mērķa sasniegšana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Pr="00736EDC" w:rsidRDefault="00D749B4">
            <w:pPr>
              <w:pStyle w:val="NormalWeb"/>
              <w:shd w:val="clear" w:color="auto" w:fill="FFFFFF"/>
              <w:spacing w:before="20" w:line="276" w:lineRule="auto"/>
              <w:jc w:val="both"/>
              <w:rPr>
                <w:lang w:val="lv-LV"/>
              </w:rPr>
            </w:pPr>
            <w:r>
              <w:rPr>
                <w:lang w:val="lv-LV" w:eastAsia="lv-LV"/>
              </w:rPr>
              <w:t xml:space="preserve"> Saistošie noteikumi ir </w:t>
            </w:r>
            <w:r>
              <w:rPr>
                <w:lang w:val="lv-LV" w:eastAsia="lv-LV"/>
              </w:rPr>
              <w:t>piemēroti iecerētā mērķa sasniegšanas nodrošināšanai un paredz tikai to, kas ir vajadzīgs minētā mērķa sasniegšanai,</w:t>
            </w:r>
            <w:r>
              <w:rPr>
                <w:lang w:val="lv-LV"/>
              </w:rPr>
              <w:t xml:space="preserve"> nav citu saudzējošāku līdzekļu, lai sasniegtu leģitīmo mērķi un pašvaldības rīcība ir atbilstoša.</w:t>
            </w:r>
          </w:p>
        </w:tc>
      </w:tr>
      <w:tr w:rsidR="00EC5EDF" w:rsidRPr="00736ED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Default="00D749B4">
            <w:pPr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Izstrādes gaitā veiktās konsultācijas 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privātpersonām un institūcijām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EDF" w:rsidRPr="00736EDC" w:rsidRDefault="00D749B4">
            <w:pPr>
              <w:spacing w:after="0"/>
              <w:ind w:left="78" w:right="102"/>
              <w:jc w:val="both"/>
              <w:textAlignment w:val="baseline"/>
              <w:rPr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Atbilstoši Komercdarbības atbalsta kontroles likuma 10. panta pirmajai daļai, saistošo noteikumu projekts tika iesniegts sākotnējai izvērtēšanai Finanšu ministrijai, kura neiebilda pret tā apstiprināšanu (Finanšu ministrija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s 2025. gada 02.aprīļa vēstule Nr.7-4/18/1039).</w:t>
            </w:r>
          </w:p>
          <w:p w:rsidR="00EC5EDF" w:rsidRPr="00736EDC" w:rsidRDefault="00D749B4">
            <w:pPr>
              <w:spacing w:after="0"/>
              <w:ind w:left="78" w:right="102"/>
              <w:jc w:val="both"/>
              <w:textAlignment w:val="baseline"/>
              <w:rPr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Saskaņā ar Pašvaldību likuma 46. panta trešo daļu,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saistošo noteikumu projektu un tam pievienoto paskaidrojuma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v-LV"/>
              </w:rPr>
              <w:lastRenderedPageBreak/>
              <w:t>rakstu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v-LV"/>
              </w:rPr>
              <w:t>publicē pašvaldības oficiālajā tīmekļvietnē sabiedrības viedokļa noskaidrošanai un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saistošo noteikumu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v-LV"/>
              </w:rPr>
              <w:t>paskaidrojuma rakstā norāda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projekta izstrādes gaitā veiktās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v-LV"/>
              </w:rPr>
              <w:t>konsultācijas ar privātpersonām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un institūcijām.</w:t>
            </w:r>
          </w:p>
          <w:p w:rsidR="00EC5EDF" w:rsidRPr="00736EDC" w:rsidRDefault="00D749B4">
            <w:pPr>
              <w:spacing w:after="0"/>
              <w:ind w:left="78" w:right="102"/>
              <w:jc w:val="both"/>
              <w:textAlignment w:val="baseline"/>
              <w:rPr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Sabiedrības viedokļa noskaidrošanai saistošo noteikumu projekts publicēts pašvaldības tīmekļvietnē </w:t>
            </w:r>
            <w:hyperlink r:id="rId11" w:history="1">
              <w:r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sadaļā “Sabiedrības līdzdalība”, termiņš viedokļu iesniegšanai no 2025.gada 20.marta līdz 2025.gada 3.aprīlim.</w:t>
            </w:r>
          </w:p>
          <w:p w:rsidR="00EC5EDF" w:rsidRDefault="00D749B4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Iedzīvotāju iebildumi, priekšlikumi saņemti netika.</w:t>
            </w:r>
          </w:p>
        </w:tc>
      </w:tr>
    </w:tbl>
    <w:p w:rsidR="00EC5EDF" w:rsidRDefault="00EC5ED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C5EDF" w:rsidRDefault="00EC5ED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C5EDF" w:rsidRDefault="00D749B4">
      <w:pPr>
        <w:tabs>
          <w:tab w:val="left" w:pos="851"/>
        </w:tabs>
        <w:snapToGri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Daugavpils valstspilsētas pašvaldības </w:t>
      </w:r>
    </w:p>
    <w:p w:rsidR="00EC5EDF" w:rsidRDefault="00D749B4">
      <w:pPr>
        <w:tabs>
          <w:tab w:val="left" w:pos="851"/>
        </w:tabs>
        <w:snapToGrid w:val="0"/>
        <w:spacing w:after="0" w:line="240" w:lineRule="auto"/>
        <w:jc w:val="both"/>
        <w:outlineLvl w:val="3"/>
      </w:pPr>
      <w:r>
        <w:rPr>
          <w:rFonts w:ascii="Times New Roman" w:hAnsi="Times New Roman"/>
          <w:sz w:val="24"/>
          <w:szCs w:val="24"/>
          <w:lang w:eastAsia="lv-LV"/>
        </w:rPr>
        <w:t>domes priekšsēdētāj</w:t>
      </w:r>
      <w:r>
        <w:rPr>
          <w:rFonts w:ascii="Times New Roman" w:hAnsi="Times New Roman"/>
          <w:sz w:val="24"/>
          <w:szCs w:val="24"/>
          <w:lang w:eastAsia="lv-LV"/>
        </w:rPr>
        <w:t>s</w:t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i/>
          <w:sz w:val="24"/>
          <w:szCs w:val="24"/>
          <w:lang w:eastAsia="lv-LV"/>
        </w:rPr>
        <w:t>(personiskais paraksts)</w:t>
      </w:r>
      <w:r>
        <w:rPr>
          <w:rFonts w:ascii="Times New Roman" w:hAnsi="Times New Roman"/>
          <w:sz w:val="24"/>
          <w:szCs w:val="24"/>
          <w:lang w:eastAsia="lv-LV"/>
        </w:rPr>
        <w:tab/>
        <w:t xml:space="preserve">             A.Elksniņš                                </w:t>
      </w:r>
    </w:p>
    <w:p w:rsidR="00EC5EDF" w:rsidRDefault="00D749B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 xml:space="preserve">                                            </w:t>
      </w:r>
    </w:p>
    <w:p w:rsidR="00EC5EDF" w:rsidRDefault="00EC5EDF">
      <w:pPr>
        <w:ind w:right="-257"/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EC5EDF">
      <w:pPr>
        <w:rPr>
          <w:lang w:val="lv-LV"/>
        </w:rPr>
      </w:pPr>
    </w:p>
    <w:p w:rsidR="00EC5EDF" w:rsidRDefault="00D749B4">
      <w:pPr>
        <w:jc w:val="center"/>
      </w:pPr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</w:p>
    <w:sectPr w:rsidR="00EC5EDF">
      <w:pgSz w:w="11906" w:h="16838"/>
      <w:pgMar w:top="1134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B4" w:rsidRDefault="00D749B4">
      <w:pPr>
        <w:spacing w:after="0" w:line="240" w:lineRule="auto"/>
      </w:pPr>
      <w:r>
        <w:separator/>
      </w:r>
    </w:p>
  </w:endnote>
  <w:endnote w:type="continuationSeparator" w:id="0">
    <w:p w:rsidR="00D749B4" w:rsidRDefault="00D7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B4" w:rsidRDefault="00D749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49B4" w:rsidRDefault="00D7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B53"/>
    <w:multiLevelType w:val="multilevel"/>
    <w:tmpl w:val="AC6AE800"/>
    <w:lvl w:ilvl="0">
      <w:start w:val="6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0F0D6E"/>
    <w:multiLevelType w:val="multilevel"/>
    <w:tmpl w:val="BE44C242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49B769C"/>
    <w:multiLevelType w:val="multilevel"/>
    <w:tmpl w:val="144872EC"/>
    <w:lvl w:ilvl="0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695453"/>
    <w:multiLevelType w:val="multilevel"/>
    <w:tmpl w:val="983E22C8"/>
    <w:lvl w:ilvl="0">
      <w:start w:val="8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6B1715B"/>
    <w:multiLevelType w:val="multilevel"/>
    <w:tmpl w:val="E6FAAA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D4670B4"/>
    <w:multiLevelType w:val="multilevel"/>
    <w:tmpl w:val="06D8D396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CE917C2"/>
    <w:multiLevelType w:val="multilevel"/>
    <w:tmpl w:val="327C2FA4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4B80C74"/>
    <w:multiLevelType w:val="multilevel"/>
    <w:tmpl w:val="F3E08116"/>
    <w:lvl w:ilvl="0">
      <w:start w:val="7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5EDF"/>
    <w:rsid w:val="00736EDC"/>
    <w:rsid w:val="00D749B4"/>
    <w:rsid w:val="00E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24CF8-3777-46A3-BA0F-0656216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DengXian" w:hAnsi="Aptos" w:cs="Times New Roman"/>
        <w:kern w:val="3"/>
        <w:sz w:val="24"/>
        <w:szCs w:val="24"/>
        <w:lang w:val="lv-LV" w:eastAsia="zh-CN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eastAsia="Aptos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DengXian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DengXian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DengXian Light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DengXian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reg/2023/2831/oj/?locale=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pportals.mk.gov.lv/annotation/666030b5-f2aa-41d7-8ac1-44d6a71001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ugavpils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kumi.lv/ta/id/267199-komercdarbibas-atbalsta-kontroles-likums#p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7199-komercdarbibas-atbalsta-kontroles-likums#p1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dc:description/>
  <cp:lastModifiedBy>Zlata Bjalkovska</cp:lastModifiedBy>
  <cp:revision>2</cp:revision>
  <cp:lastPrinted>2025-05-06T05:28:00Z</cp:lastPrinted>
  <dcterms:created xsi:type="dcterms:W3CDTF">2025-05-10T06:28:00Z</dcterms:created>
  <dcterms:modified xsi:type="dcterms:W3CDTF">2025-05-10T06:28:00Z</dcterms:modified>
</cp:coreProperties>
</file>