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6E2" w:rsidRPr="00AC754F" w:rsidRDefault="000076E2" w:rsidP="000076E2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AC754F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66A9FE54" wp14:editId="228ED5D4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6E2" w:rsidRPr="00AC754F" w:rsidRDefault="000076E2" w:rsidP="000076E2">
      <w:pPr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0076E2" w:rsidRPr="00AC754F" w:rsidRDefault="000076E2" w:rsidP="000076E2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7"/>
          <w:szCs w:val="27"/>
        </w:rPr>
      </w:pPr>
      <w:r w:rsidRPr="00AC754F">
        <w:rPr>
          <w:rFonts w:ascii="Times New Roman" w:hAnsi="Times New Roman" w:cs="Times New Roman"/>
          <w:b/>
          <w:bCs/>
          <w:noProof/>
          <w:sz w:val="27"/>
          <w:szCs w:val="27"/>
        </w:rPr>
        <w:t>DAUGAVPILS VALSTSPILSĒTAS PAŠVALDĪBAS</w:t>
      </w:r>
      <w:r w:rsidR="00FC2C0C">
        <w:rPr>
          <w:rFonts w:ascii="Times New Roman" w:hAnsi="Times New Roman" w:cs="Times New Roman"/>
          <w:b/>
          <w:bCs/>
          <w:noProof/>
          <w:sz w:val="27"/>
          <w:szCs w:val="27"/>
        </w:rPr>
        <w:t xml:space="preserve"> DOME</w:t>
      </w:r>
    </w:p>
    <w:p w:rsidR="000076E2" w:rsidRPr="00AC754F" w:rsidRDefault="000076E2" w:rsidP="000076E2">
      <w:pPr>
        <w:spacing w:after="0" w:line="240" w:lineRule="auto"/>
        <w:ind w:right="-341"/>
        <w:jc w:val="center"/>
        <w:rPr>
          <w:rFonts w:ascii="Times New Roman" w:hAnsi="Times New Roman" w:cs="Times New Roman"/>
          <w:noProof/>
          <w:sz w:val="10"/>
          <w:szCs w:val="10"/>
        </w:rPr>
      </w:pPr>
      <w:r w:rsidRPr="00AC754F"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ADDC6A" wp14:editId="14EDA368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071D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0076E2" w:rsidRPr="00AC754F" w:rsidRDefault="000076E2" w:rsidP="000076E2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 w:rsidRPr="00AC754F">
        <w:rPr>
          <w:rFonts w:ascii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AC754F">
        <w:rPr>
          <w:rFonts w:ascii="Times New Roman" w:hAnsi="Times New Roman" w:cs="Times New Roman"/>
          <w:sz w:val="20"/>
          <w:szCs w:val="20"/>
          <w:lang w:val="pl-PL"/>
        </w:rPr>
        <w:t>65404399, 65404321</w:t>
      </w:r>
    </w:p>
    <w:p w:rsidR="000076E2" w:rsidRPr="00AC754F" w:rsidRDefault="000076E2" w:rsidP="000076E2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noProof/>
          <w:w w:val="120"/>
          <w:sz w:val="16"/>
          <w:szCs w:val="16"/>
        </w:rPr>
      </w:pPr>
      <w:r w:rsidRPr="00AC754F">
        <w:rPr>
          <w:rFonts w:ascii="Times New Roman" w:hAnsi="Times New Roman" w:cs="Times New Roman"/>
          <w:sz w:val="20"/>
          <w:szCs w:val="20"/>
        </w:rPr>
        <w:t xml:space="preserve">e-pasts: info@daugavpils.lv   </w:t>
      </w:r>
      <w:r w:rsidRPr="00AC754F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:rsidR="00B42982" w:rsidRPr="008F6BA0" w:rsidRDefault="00B42982" w:rsidP="00B42982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:rsidR="00B42982" w:rsidRPr="008F6BA0" w:rsidRDefault="00B42982" w:rsidP="00B42982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:rsidR="00B42982" w:rsidRPr="008F6BA0" w:rsidRDefault="00B42982" w:rsidP="00B42982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:rsidR="00B42982" w:rsidRPr="008F6BA0" w:rsidRDefault="00B42982" w:rsidP="00B42982">
      <w:pPr>
        <w:pStyle w:val="Heading4"/>
        <w:ind w:left="567" w:hanging="567"/>
        <w:jc w:val="left"/>
        <w:rPr>
          <w:sz w:val="24"/>
          <w:szCs w:val="24"/>
        </w:rPr>
      </w:pPr>
      <w:r w:rsidRPr="008F6BA0">
        <w:rPr>
          <w:b w:val="0"/>
          <w:sz w:val="24"/>
          <w:szCs w:val="24"/>
        </w:rPr>
        <w:t xml:space="preserve">2023.gada 30.novembra                                                             </w:t>
      </w:r>
      <w:r w:rsidRPr="008F6BA0">
        <w:rPr>
          <w:sz w:val="24"/>
          <w:szCs w:val="24"/>
        </w:rPr>
        <w:t>Saistošie noteikumi Nr.25</w:t>
      </w:r>
    </w:p>
    <w:p w:rsidR="00B42982" w:rsidRPr="008F6BA0" w:rsidRDefault="00B42982" w:rsidP="00B42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(prot. Nr.26, </w:t>
      </w:r>
      <w:r w:rsidR="008F6BA0" w:rsidRPr="008F6BA0">
        <w:rPr>
          <w:rFonts w:ascii="Times New Roman" w:hAnsi="Times New Roman" w:cs="Times New Roman"/>
          <w:sz w:val="24"/>
          <w:szCs w:val="24"/>
        </w:rPr>
        <w:t>24</w:t>
      </w:r>
      <w:r w:rsidRPr="008F6BA0">
        <w:rPr>
          <w:rFonts w:ascii="Times New Roman" w:hAnsi="Times New Roman" w:cs="Times New Roman"/>
          <w:sz w:val="24"/>
          <w:szCs w:val="24"/>
        </w:rPr>
        <w:t>.§)</w:t>
      </w:r>
    </w:p>
    <w:p w:rsidR="00B42982" w:rsidRPr="008F6BA0" w:rsidRDefault="00B42982" w:rsidP="00B42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982" w:rsidRPr="008F6BA0" w:rsidRDefault="00B42982" w:rsidP="00B42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APSTIPRINĀTI</w:t>
      </w:r>
    </w:p>
    <w:p w:rsidR="00B42982" w:rsidRPr="008F6BA0" w:rsidRDefault="00B42982" w:rsidP="00B42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ar Daugavpils </w:t>
      </w:r>
      <w:proofErr w:type="spellStart"/>
      <w:r w:rsidRPr="008F6BA0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8F6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982" w:rsidRPr="008F6BA0" w:rsidRDefault="00B42982" w:rsidP="00B42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pašvaldības domes </w:t>
      </w:r>
    </w:p>
    <w:p w:rsidR="00B42982" w:rsidRPr="008F6BA0" w:rsidRDefault="00B42982" w:rsidP="00B42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2023.gada 30.novembra</w:t>
      </w:r>
    </w:p>
    <w:p w:rsidR="00B42982" w:rsidRPr="008F6BA0" w:rsidRDefault="00B42982" w:rsidP="00B42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lēmumu Nr.</w:t>
      </w:r>
      <w:r w:rsidR="005C6A88">
        <w:rPr>
          <w:rFonts w:ascii="Times New Roman" w:hAnsi="Times New Roman" w:cs="Times New Roman"/>
          <w:sz w:val="24"/>
          <w:szCs w:val="24"/>
        </w:rPr>
        <w:t>865</w:t>
      </w:r>
    </w:p>
    <w:p w:rsidR="00B42982" w:rsidRPr="00B42982" w:rsidRDefault="00B42982" w:rsidP="00B4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B42982" w:rsidRPr="00B42982" w:rsidRDefault="00B42982" w:rsidP="00B4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98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Grozījums </w:t>
      </w:r>
      <w:r w:rsidRPr="00B42982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B42982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B42982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domes 2023.gada 27.jūlija saistošajos noteikumos Nr.10  "</w:t>
      </w:r>
      <w:r w:rsidRPr="00B4298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Sociālās garantijas bārenim un bez vecāku gādības palikušajam bērnam</w:t>
      </w:r>
      <w:r w:rsidRPr="00B42982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</w:p>
    <w:p w:rsidR="00B42982" w:rsidRPr="00B42982" w:rsidRDefault="00B42982" w:rsidP="00B42982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B42982" w:rsidRPr="00B42982" w:rsidRDefault="00B42982" w:rsidP="00B42982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t xml:space="preserve">Izdoti saskaņā ar likuma </w:t>
      </w:r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br/>
        <w:t>"</w:t>
      </w:r>
      <w:hyperlink r:id="rId6" w:tgtFrame="_blank" w:history="1"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Par palīdzību dzīvokļa jautājumu risināšanā</w:t>
        </w:r>
      </w:hyperlink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t>"</w:t>
      </w:r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br/>
        <w:t>25.</w:t>
      </w:r>
      <w:r w:rsidRPr="00B42982">
        <w:rPr>
          <w:rFonts w:ascii="Times New Roman" w:eastAsia="Times New Roman" w:hAnsi="Times New Roman" w:cs="Times New Roman"/>
          <w:i/>
          <w:iCs/>
          <w:vertAlign w:val="superscript"/>
          <w:lang w:eastAsia="lv-LV"/>
        </w:rPr>
        <w:t>2 </w:t>
      </w:r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t>pirmo un piekto daļu,</w:t>
      </w:r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br/>
      </w:r>
      <w:hyperlink r:id="rId7" w:tgtFrame="_blank" w:history="1"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Pašvaldību likuma</w:t>
        </w:r>
      </w:hyperlink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t> </w:t>
      </w:r>
      <w:hyperlink r:id="rId8" w:anchor="p44" w:tgtFrame="_blank" w:history="1"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44. panta</w:t>
        </w:r>
      </w:hyperlink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t> otro daļu,</w:t>
      </w:r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br/>
        <w:t>Ministru kabineta 2005. gada 15. novembra</w:t>
      </w:r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br/>
        <w:t>noteikumu Nr. 857 "</w:t>
      </w:r>
      <w:hyperlink r:id="rId9" w:tgtFrame="_blank" w:history="1"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Noteikumi par sociālajām</w:t>
        </w:r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br/>
          <w:t>garantijām bārenim un bez vecāku gādības</w:t>
        </w:r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br/>
          <w:t xml:space="preserve">palikušajam bērnam, kurš ir </w:t>
        </w:r>
        <w:proofErr w:type="spellStart"/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ārpusģimenes</w:t>
        </w:r>
        <w:proofErr w:type="spellEnd"/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 xml:space="preserve"> aprūpē,</w:t>
        </w:r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br/>
          <w:t xml:space="preserve">kā arī pēc </w:t>
        </w:r>
        <w:proofErr w:type="spellStart"/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ārpusģimenes</w:t>
        </w:r>
        <w:proofErr w:type="spellEnd"/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 xml:space="preserve"> aprūpes beigšanās</w:t>
        </w:r>
      </w:hyperlink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t>"</w:t>
      </w:r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br/>
        <w:t>22., </w:t>
      </w:r>
      <w:hyperlink r:id="rId10" w:anchor="p27" w:tgtFrame="_blank" w:history="1"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27.</w:t>
        </w:r>
      </w:hyperlink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t>, </w:t>
      </w:r>
      <w:hyperlink r:id="rId11" w:anchor="p30" w:tgtFrame="_blank" w:history="1"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30.</w:t>
        </w:r>
      </w:hyperlink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t>, </w:t>
      </w:r>
      <w:hyperlink r:id="rId12" w:anchor="p31" w:tgtFrame="_blank" w:history="1"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31. </w:t>
        </w:r>
      </w:hyperlink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t>un </w:t>
      </w:r>
      <w:hyperlink r:id="rId13" w:anchor="p31_1" w:tgtFrame="_blank" w:history="1"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31.</w:t>
        </w:r>
        <w:r w:rsidRPr="00B42982">
          <w:rPr>
            <w:rFonts w:ascii="Times New Roman" w:eastAsia="Times New Roman" w:hAnsi="Times New Roman" w:cs="Times New Roman"/>
            <w:i/>
            <w:iCs/>
            <w:vertAlign w:val="superscript"/>
            <w:lang w:eastAsia="lv-LV"/>
          </w:rPr>
          <w:t>1</w:t>
        </w:r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 punktu</w:t>
        </w:r>
      </w:hyperlink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t>,</w:t>
      </w:r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br/>
        <w:t>Ministru kabineta 2018. gada 26. jūnija</w:t>
      </w:r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br/>
        <w:t>noteikumu Nr. 354 "</w:t>
      </w:r>
      <w:hyperlink r:id="rId14" w:tgtFrame="_blank" w:history="1"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Audžuģimenes noteikumi</w:t>
        </w:r>
      </w:hyperlink>
      <w:r w:rsidRPr="00B42982">
        <w:rPr>
          <w:rFonts w:ascii="Times New Roman" w:eastAsia="Times New Roman" w:hAnsi="Times New Roman" w:cs="Times New Roman"/>
          <w:i/>
          <w:iCs/>
          <w:lang w:eastAsia="lv-LV"/>
        </w:rPr>
        <w:t xml:space="preserve">" </w:t>
      </w:r>
      <w:hyperlink r:id="rId15" w:anchor="p78" w:tgtFrame="_blank" w:history="1">
        <w:r w:rsidRPr="00B42982">
          <w:rPr>
            <w:rFonts w:ascii="Times New Roman" w:eastAsia="Times New Roman" w:hAnsi="Times New Roman" w:cs="Times New Roman"/>
            <w:i/>
            <w:iCs/>
            <w:lang w:eastAsia="lv-LV"/>
          </w:rPr>
          <w:t>78. punktu</w:t>
        </w:r>
      </w:hyperlink>
    </w:p>
    <w:p w:rsidR="00B42982" w:rsidRPr="00B42982" w:rsidRDefault="00B42982" w:rsidP="00B42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B4298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br/>
      </w:r>
      <w:bookmarkStart w:id="0" w:name="n1"/>
      <w:bookmarkStart w:id="1" w:name="n-626252"/>
      <w:bookmarkEnd w:id="0"/>
      <w:bookmarkEnd w:id="1"/>
    </w:p>
    <w:p w:rsidR="00B42982" w:rsidRPr="00B42982" w:rsidRDefault="00B42982" w:rsidP="00B4298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2" w:name="n2"/>
      <w:bookmarkStart w:id="3" w:name="n-626258"/>
      <w:bookmarkEnd w:id="2"/>
      <w:bookmarkEnd w:id="3"/>
      <w:r w:rsidRPr="00B429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Izdarīt Daugavpils </w:t>
      </w:r>
      <w:proofErr w:type="spellStart"/>
      <w:r w:rsidRPr="00B42982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B429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</w:t>
      </w:r>
      <w:r w:rsidRPr="00B42982">
        <w:rPr>
          <w:rFonts w:ascii="Times New Roman" w:eastAsia="Times New Roman" w:hAnsi="Times New Roman" w:cs="Times New Roman"/>
          <w:sz w:val="24"/>
          <w:szCs w:val="24"/>
        </w:rPr>
        <w:t xml:space="preserve">2023.gada 27.jūlija saistošajos noteikumos Nr.10  "Sociālās garantijas bārenim un </w:t>
      </w:r>
      <w:r w:rsidRPr="00B42982">
        <w:rPr>
          <w:rFonts w:ascii="Times New Roman" w:eastAsia="Times New Roman" w:hAnsi="Times New Roman" w:cs="Times New Roman"/>
          <w:sz w:val="24"/>
          <w:szCs w:val="24"/>
          <w:lang w:eastAsia="lv-LV"/>
        </w:rPr>
        <w:t>bez vecāku gādības palikušajam bērnam (Latvijas Vēstnesis 2023, Nr.165) grozījumu un 10.1.apakšpunktā svītrot vārdus “vasaras brīvlaikā un”.</w:t>
      </w:r>
    </w:p>
    <w:p w:rsidR="00B42982" w:rsidRPr="00B42982" w:rsidRDefault="00B42982" w:rsidP="00B4298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2982">
        <w:rPr>
          <w:rFonts w:ascii="Times New Roman" w:eastAsia="Times New Roman" w:hAnsi="Times New Roman" w:cs="Times New Roman"/>
          <w:sz w:val="24"/>
          <w:szCs w:val="24"/>
          <w:lang w:eastAsia="lv-LV"/>
        </w:rPr>
        <w:t>Saistošie noteikumi stājas spēkā 2024.gada 1.janvārī.</w:t>
      </w:r>
    </w:p>
    <w:p w:rsidR="00B42982" w:rsidRPr="00B42982" w:rsidRDefault="00B42982" w:rsidP="00B4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4" w:name="n11"/>
      <w:bookmarkStart w:id="5" w:name="n-626313"/>
      <w:bookmarkStart w:id="6" w:name="p54"/>
      <w:bookmarkStart w:id="7" w:name="p-626316"/>
      <w:bookmarkStart w:id="8" w:name="n15"/>
      <w:bookmarkStart w:id="9" w:name="n-626332"/>
      <w:bookmarkStart w:id="10" w:name="n21_1"/>
      <w:bookmarkStart w:id="11" w:name="n-785525"/>
      <w:bookmarkStart w:id="12" w:name="n21_2"/>
      <w:bookmarkStart w:id="13" w:name="n-1024554"/>
      <w:bookmarkStart w:id="14" w:name="n21_3"/>
      <w:bookmarkStart w:id="15" w:name="n-1024559"/>
      <w:bookmarkStart w:id="16" w:name="n21_4"/>
      <w:bookmarkStart w:id="17" w:name="n-1024565"/>
      <w:bookmarkStart w:id="18" w:name="p89"/>
      <w:bookmarkStart w:id="19" w:name="p-62636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B42982" w:rsidRPr="00B42982" w:rsidRDefault="00B42982" w:rsidP="00B4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C5D24" w:rsidRDefault="00EC5D24" w:rsidP="00EC5D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</w:t>
      </w:r>
    </w:p>
    <w:p w:rsidR="00EC5D24" w:rsidRDefault="00EC5D24" w:rsidP="00EC5D24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domes priekšsēdētāja 1.vietnieks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A.Vas</w:t>
      </w:r>
      <w:r w:rsidR="0096544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ļjevs</w:t>
      </w:r>
      <w:proofErr w:type="spellEnd"/>
    </w:p>
    <w:p w:rsidR="00B42982" w:rsidRPr="00B42982" w:rsidRDefault="00B42982" w:rsidP="00B429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2982" w:rsidRPr="00B42982" w:rsidRDefault="00B42982" w:rsidP="00B429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EB3" w:rsidRDefault="009F6EB3">
      <w:pPr>
        <w:rPr>
          <w:sz w:val="24"/>
          <w:szCs w:val="24"/>
        </w:rPr>
      </w:pPr>
    </w:p>
    <w:p w:rsidR="009F6EB3" w:rsidRPr="009F6EB3" w:rsidRDefault="009F6EB3" w:rsidP="009F6EB3">
      <w:pPr>
        <w:rPr>
          <w:sz w:val="24"/>
          <w:szCs w:val="24"/>
        </w:rPr>
      </w:pPr>
      <w:bookmarkStart w:id="20" w:name="_GoBack"/>
      <w:bookmarkEnd w:id="20"/>
    </w:p>
    <w:sectPr w:rsidR="009F6EB3" w:rsidRPr="009F6EB3" w:rsidSect="00B4298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B7A08"/>
    <w:multiLevelType w:val="hybridMultilevel"/>
    <w:tmpl w:val="851874A0"/>
    <w:lvl w:ilvl="0" w:tplc="1BA4C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82"/>
    <w:rsid w:val="000076E2"/>
    <w:rsid w:val="00517BD8"/>
    <w:rsid w:val="005C6A88"/>
    <w:rsid w:val="00737B2E"/>
    <w:rsid w:val="008F6BA0"/>
    <w:rsid w:val="00965440"/>
    <w:rsid w:val="009F6EB3"/>
    <w:rsid w:val="00B42982"/>
    <w:rsid w:val="00EC5D24"/>
    <w:rsid w:val="00FC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EF9DF6-F71A-47F6-B9C2-EFCCCBB6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982"/>
  </w:style>
  <w:style w:type="paragraph" w:styleId="Heading4">
    <w:name w:val="heading 4"/>
    <w:basedOn w:val="Normal"/>
    <w:next w:val="Normal"/>
    <w:link w:val="Heading4Char"/>
    <w:semiHidden/>
    <w:unhideWhenUsed/>
    <w:qFormat/>
    <w:rsid w:val="00B42982"/>
    <w:pPr>
      <w:keepNext/>
      <w:spacing w:after="0" w:line="240" w:lineRule="auto"/>
      <w:ind w:left="4590" w:firstLine="117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B42982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429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336956-pasvaldibu-likums" TargetMode="External"/><Relationship Id="rId12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56812-par-palidzibu-dzivokla-jautajumu-risinasana" TargetMode="External"/><Relationship Id="rId11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ikumi.lv/ta/id/300005-audzugimenes-noteikumi" TargetMode="External"/><Relationship Id="rId10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4" Type="http://schemas.openxmlformats.org/officeDocument/2006/relationships/hyperlink" Target="https://likumi.lv/ta/id/300005-audzugimenes-noteiku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2232</Words>
  <Characters>1273</Characters>
  <Application>Microsoft Office Word</Application>
  <DocSecurity>0</DocSecurity>
  <Lines>10</Lines>
  <Paragraphs>6</Paragraphs>
  <ScaleCrop>false</ScaleCrop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9</cp:revision>
  <cp:lastPrinted>2023-12-04T12:46:00Z</cp:lastPrinted>
  <dcterms:created xsi:type="dcterms:W3CDTF">2023-11-27T08:52:00Z</dcterms:created>
  <dcterms:modified xsi:type="dcterms:W3CDTF">2023-12-05T09:20:00Z</dcterms:modified>
</cp:coreProperties>
</file>