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34" w:rsidRPr="001C6C31" w:rsidRDefault="00A91D34" w:rsidP="00A91D34">
      <w:pPr>
        <w:shd w:val="clear" w:color="auto" w:fill="FFFFFF"/>
        <w:spacing w:after="0" w:line="240" w:lineRule="auto"/>
        <w:ind w:right="142"/>
        <w:jc w:val="center"/>
        <w:outlineLvl w:val="3"/>
        <w:rPr>
          <w:rFonts w:ascii="Times New Roman" w:eastAsia="Times New Roman" w:hAnsi="Times New Roman"/>
          <w:b/>
          <w:bCs/>
          <w:sz w:val="24"/>
          <w:szCs w:val="24"/>
          <w:lang w:eastAsia="lv-LV"/>
        </w:rPr>
      </w:pPr>
      <w:r w:rsidRPr="001C6C31">
        <w:rPr>
          <w:rFonts w:ascii="Times New Roman" w:eastAsia="Times New Roman" w:hAnsi="Times New Roman"/>
          <w:b/>
          <w:bCs/>
          <w:sz w:val="24"/>
          <w:szCs w:val="24"/>
          <w:lang w:eastAsia="lv-LV"/>
        </w:rPr>
        <w:t>Daugavpils domes 2022</w:t>
      </w:r>
      <w:r>
        <w:rPr>
          <w:rFonts w:ascii="Times New Roman" w:eastAsia="Times New Roman" w:hAnsi="Times New Roman"/>
          <w:b/>
          <w:bCs/>
          <w:sz w:val="24"/>
          <w:szCs w:val="24"/>
          <w:lang w:eastAsia="lv-LV"/>
        </w:rPr>
        <w:t>.gada 24.novembra saistošo noteikumu Nr.29</w:t>
      </w:r>
      <w:r w:rsidRPr="001C6C31">
        <w:rPr>
          <w:rFonts w:ascii="Times New Roman" w:eastAsia="Times New Roman" w:hAnsi="Times New Roman"/>
          <w:b/>
          <w:bCs/>
          <w:sz w:val="24"/>
          <w:szCs w:val="24"/>
          <w:lang w:eastAsia="lv-LV"/>
        </w:rPr>
        <w:t xml:space="preserve"> “</w:t>
      </w:r>
      <w:r w:rsidRPr="001C6C31">
        <w:rPr>
          <w:rFonts w:ascii="Times New Roman" w:eastAsia="Times New Roman" w:hAnsi="Times New Roman"/>
          <w:b/>
          <w:bCs/>
          <w:sz w:val="24"/>
          <w:szCs w:val="24"/>
        </w:rPr>
        <w:t xml:space="preserve">Grozījums Daugavpils domes 2017.gada 8.jūnija saistošajos noteikumos Nr.21 “Daugavpils </w:t>
      </w:r>
      <w:proofErr w:type="spellStart"/>
      <w:r w:rsidRPr="001C6C31">
        <w:rPr>
          <w:rFonts w:ascii="Times New Roman" w:eastAsia="Times New Roman" w:hAnsi="Times New Roman"/>
          <w:b/>
          <w:bCs/>
          <w:sz w:val="24"/>
          <w:szCs w:val="24"/>
        </w:rPr>
        <w:t>valstspilsētas</w:t>
      </w:r>
      <w:proofErr w:type="spellEnd"/>
      <w:r w:rsidRPr="001C6C31">
        <w:rPr>
          <w:rFonts w:ascii="Times New Roman" w:eastAsia="Times New Roman" w:hAnsi="Times New Roman"/>
          <w:b/>
          <w:bCs/>
          <w:sz w:val="24"/>
          <w:szCs w:val="24"/>
        </w:rPr>
        <w:t xml:space="preserve"> pašvaldības sociālie pakalpojumi”</w:t>
      </w:r>
      <w:r w:rsidRPr="001C6C31">
        <w:rPr>
          <w:rFonts w:ascii="Times New Roman" w:eastAsia="Times New Roman" w:hAnsi="Times New Roman"/>
          <w:b/>
          <w:bCs/>
          <w:sz w:val="24"/>
          <w:szCs w:val="24"/>
          <w:lang w:eastAsia="lv-LV"/>
        </w:rPr>
        <w:t>”  paskaidrojuma raksts</w:t>
      </w:r>
    </w:p>
    <w:p w:rsidR="00A91D34" w:rsidRPr="001C6C31" w:rsidRDefault="00A91D34" w:rsidP="00A91D34">
      <w:pPr>
        <w:shd w:val="clear" w:color="auto" w:fill="FFFFFF"/>
        <w:spacing w:after="0" w:line="240" w:lineRule="auto"/>
        <w:ind w:right="142"/>
        <w:jc w:val="center"/>
        <w:outlineLvl w:val="3"/>
        <w:rPr>
          <w:rFonts w:ascii="Times New Roman" w:eastAsia="Times New Roman" w:hAnsi="Times New Roman"/>
          <w:b/>
          <w:bCs/>
          <w:sz w:val="24"/>
          <w:szCs w:val="24"/>
          <w:lang w:eastAsia="lv-LV"/>
        </w:rPr>
      </w:pPr>
    </w:p>
    <w:tbl>
      <w:tblPr>
        <w:tblW w:w="4921" w:type="pct"/>
        <w:tblInd w:w="-8"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725"/>
        <w:gridCol w:w="6187"/>
      </w:tblGrid>
      <w:tr w:rsidR="00A91D34" w:rsidRPr="001C6C31" w:rsidTr="00AD19C0">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before="100" w:beforeAutospacing="1" w:after="100" w:afterAutospacing="1" w:line="293" w:lineRule="atLeast"/>
              <w:ind w:right="142"/>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Paskaidrojuma raksta sadaļas</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before="100" w:beforeAutospacing="1" w:after="100" w:afterAutospacing="1" w:line="293" w:lineRule="atLeast"/>
              <w:ind w:right="142"/>
              <w:jc w:val="center"/>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Norādāmā informācija</w:t>
            </w:r>
          </w:p>
        </w:tc>
      </w:tr>
      <w:tr w:rsidR="00A91D34" w:rsidRPr="001C6C31" w:rsidTr="00AD19C0">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after="0" w:line="240" w:lineRule="auto"/>
              <w:ind w:right="142"/>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1. Projekta nepieciešamības pamatojums</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after="0" w:line="240" w:lineRule="auto"/>
              <w:ind w:left="100" w:right="60" w:firstLine="10"/>
              <w:jc w:val="both"/>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 xml:space="preserve">Bērnu tiesību aizsardzības likuma 42.panta pirmā daļa paredz, ka </w:t>
            </w:r>
            <w:proofErr w:type="spellStart"/>
            <w:r w:rsidRPr="001C6C31">
              <w:rPr>
                <w:rFonts w:ascii="Times New Roman" w:eastAsia="Times New Roman" w:hAnsi="Times New Roman"/>
                <w:sz w:val="24"/>
                <w:szCs w:val="24"/>
                <w:lang w:eastAsia="lv-LV"/>
              </w:rPr>
              <w:t>ārpusģimenes</w:t>
            </w:r>
            <w:proofErr w:type="spellEnd"/>
            <w:r w:rsidRPr="001C6C31">
              <w:rPr>
                <w:rFonts w:ascii="Times New Roman" w:eastAsia="Times New Roman" w:hAnsi="Times New Roman"/>
                <w:sz w:val="24"/>
                <w:szCs w:val="24"/>
                <w:lang w:eastAsia="lv-LV"/>
              </w:rPr>
              <w:t xml:space="preserve"> aprūpi izbeidz, kad bērna vecāku ģimenē tiek nodrošināti labvēlīgi apstākļi bērna attīstībai vai arī viņš ir sasniedzis 18 gadu vecumu. Ilgāka bērna atstāšana aprūpes iestādē, pie aizbildņa vai audžuģimenē pieļaujama līdz mācību gada beigām, ja bērns turpina mācības.</w:t>
            </w:r>
          </w:p>
          <w:p w:rsidR="00A91D34" w:rsidRPr="001C6C31" w:rsidRDefault="00A91D34" w:rsidP="00AD19C0">
            <w:pPr>
              <w:spacing w:after="0" w:line="240" w:lineRule="auto"/>
              <w:ind w:left="100" w:right="60" w:firstLine="10"/>
              <w:jc w:val="both"/>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Noteikumu 29.punktā tiek izdarīti grozījumi atbilstoši Bērnu tiesību aizsardzības likuma 42.panta pirmajai daļai.</w:t>
            </w:r>
          </w:p>
        </w:tc>
      </w:tr>
      <w:tr w:rsidR="00A91D34" w:rsidRPr="001C6C31" w:rsidTr="00AD19C0">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after="0" w:line="240" w:lineRule="auto"/>
              <w:ind w:right="142"/>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2. Īss projekta satura izklāsts</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after="0" w:line="240" w:lineRule="auto"/>
              <w:ind w:left="100" w:right="60" w:firstLine="10"/>
              <w:jc w:val="both"/>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 xml:space="preserve">Tiek precizēta saistošo noteikumu </w:t>
            </w:r>
            <w:r w:rsidRPr="001C6C31">
              <w:rPr>
                <w:rFonts w:ascii="Times New Roman" w:eastAsia="Times New Roman" w:hAnsi="Times New Roman"/>
                <w:sz w:val="24"/>
                <w:szCs w:val="24"/>
              </w:rPr>
              <w:t>29.punkta redakcija.</w:t>
            </w:r>
          </w:p>
        </w:tc>
      </w:tr>
      <w:tr w:rsidR="00A91D34" w:rsidRPr="001C6C31" w:rsidTr="00AD19C0">
        <w:trPr>
          <w:trHeight w:val="711"/>
        </w:trPr>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after="0" w:line="240" w:lineRule="auto"/>
              <w:ind w:right="142"/>
              <w:jc w:val="both"/>
              <w:rPr>
                <w:rFonts w:ascii="Times New Roman" w:hAnsi="Times New Roman"/>
                <w:sz w:val="24"/>
                <w:szCs w:val="24"/>
                <w:shd w:val="clear" w:color="auto" w:fill="FFFFFF"/>
              </w:rPr>
            </w:pPr>
            <w:r w:rsidRPr="001C6C31">
              <w:rPr>
                <w:rFonts w:ascii="Times New Roman" w:hAnsi="Times New Roman"/>
                <w:sz w:val="24"/>
                <w:szCs w:val="24"/>
                <w:shd w:val="clear" w:color="auto" w:fill="FFFFFF"/>
              </w:rPr>
              <w:t>3.Informācija par plānoto projekta ietekmi uz pašvaldības budžetu</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tabs>
                <w:tab w:val="left" w:pos="7230"/>
              </w:tabs>
              <w:spacing w:after="0" w:line="240" w:lineRule="auto"/>
              <w:ind w:left="100" w:right="60"/>
              <w:jc w:val="both"/>
              <w:rPr>
                <w:rFonts w:ascii="Times New Roman" w:hAnsi="Times New Roman"/>
                <w:sz w:val="24"/>
                <w:szCs w:val="24"/>
                <w:shd w:val="clear" w:color="auto" w:fill="FFFFFF"/>
              </w:rPr>
            </w:pPr>
            <w:r w:rsidRPr="001C6C31">
              <w:rPr>
                <w:rFonts w:ascii="Times New Roman" w:hAnsi="Times New Roman"/>
                <w:sz w:val="24"/>
                <w:szCs w:val="24"/>
              </w:rPr>
              <w:t>Nav attiecināms.</w:t>
            </w:r>
          </w:p>
        </w:tc>
      </w:tr>
      <w:tr w:rsidR="00A91D34" w:rsidRPr="001C6C31" w:rsidTr="00AD19C0">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after="0" w:line="240" w:lineRule="auto"/>
              <w:ind w:right="69"/>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4. Informācija par plānoto projekta ietekmi uz uzņēmējdarbības vidi pašvaldības teritorijā</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after="0" w:line="240" w:lineRule="auto"/>
              <w:ind w:left="100" w:right="60"/>
              <w:jc w:val="both"/>
              <w:rPr>
                <w:rFonts w:ascii="Times New Roman" w:eastAsia="Times New Roman" w:hAnsi="Times New Roman"/>
                <w:sz w:val="24"/>
                <w:szCs w:val="24"/>
                <w:lang w:eastAsia="lv-LV"/>
              </w:rPr>
            </w:pPr>
            <w:r w:rsidRPr="001C6C31">
              <w:rPr>
                <w:rFonts w:ascii="Times New Roman" w:hAnsi="Times New Roman"/>
                <w:sz w:val="24"/>
                <w:szCs w:val="24"/>
                <w:shd w:val="clear" w:color="auto" w:fill="FFFFFF"/>
              </w:rPr>
              <w:t>Nav attiecināms.</w:t>
            </w:r>
          </w:p>
        </w:tc>
      </w:tr>
      <w:tr w:rsidR="00A91D34" w:rsidRPr="001C6C31" w:rsidTr="00AD19C0">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after="0" w:line="240" w:lineRule="auto"/>
              <w:ind w:right="142"/>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5. Informācija par administratīvajām procedūrām</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tabs>
                <w:tab w:val="left" w:pos="7230"/>
              </w:tabs>
              <w:spacing w:after="0" w:line="240" w:lineRule="auto"/>
              <w:ind w:left="100" w:right="60"/>
              <w:jc w:val="both"/>
              <w:rPr>
                <w:rFonts w:ascii="Times New Roman" w:eastAsia="Times New Roman" w:hAnsi="Times New Roman"/>
                <w:sz w:val="24"/>
                <w:szCs w:val="24"/>
                <w:lang w:eastAsia="lv-LV"/>
              </w:rPr>
            </w:pPr>
            <w:r w:rsidRPr="001C6C31">
              <w:rPr>
                <w:rFonts w:ascii="Times New Roman" w:hAnsi="Times New Roman"/>
                <w:sz w:val="24"/>
                <w:szCs w:val="24"/>
              </w:rPr>
              <w:t>Netiek mainītas.</w:t>
            </w:r>
          </w:p>
        </w:tc>
      </w:tr>
      <w:tr w:rsidR="00A91D34" w:rsidRPr="001C6C31" w:rsidTr="00AD19C0">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after="0" w:line="240" w:lineRule="auto"/>
              <w:ind w:right="32"/>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6. Informācija par konsultācijām ar privātpersonām</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A91D34" w:rsidRPr="001C6C31" w:rsidRDefault="00A91D34" w:rsidP="00AD19C0">
            <w:pPr>
              <w:spacing w:after="0" w:line="240" w:lineRule="auto"/>
              <w:ind w:left="100" w:right="60"/>
              <w:jc w:val="both"/>
              <w:rPr>
                <w:rFonts w:ascii="Times New Roman" w:eastAsia="Times New Roman" w:hAnsi="Times New Roman"/>
                <w:i/>
                <w:sz w:val="24"/>
                <w:szCs w:val="24"/>
                <w:lang w:eastAsia="lv-LV"/>
              </w:rPr>
            </w:pPr>
            <w:r w:rsidRPr="001C6C31">
              <w:rPr>
                <w:rFonts w:ascii="Times New Roman" w:hAnsi="Times New Roman"/>
                <w:sz w:val="24"/>
                <w:szCs w:val="24"/>
                <w:shd w:val="clear" w:color="auto" w:fill="FFFFFF"/>
              </w:rPr>
              <w:t>Nav attiecināms.</w:t>
            </w:r>
          </w:p>
        </w:tc>
      </w:tr>
    </w:tbl>
    <w:p w:rsidR="00A91D34" w:rsidRDefault="00A91D34" w:rsidP="00A91D34">
      <w:pPr>
        <w:shd w:val="clear" w:color="auto" w:fill="FFFFFF"/>
        <w:spacing w:before="100" w:beforeAutospacing="1" w:after="0" w:line="276" w:lineRule="auto"/>
        <w:ind w:left="-180" w:right="142"/>
        <w:jc w:val="both"/>
        <w:rPr>
          <w:rFonts w:ascii="Times New Roman" w:hAnsi="Times New Roman"/>
          <w:bCs/>
          <w:sz w:val="24"/>
          <w:szCs w:val="24"/>
        </w:rPr>
      </w:pPr>
    </w:p>
    <w:p w:rsidR="0025174B" w:rsidRPr="0025174B" w:rsidRDefault="0025174B" w:rsidP="0025174B">
      <w:pPr>
        <w:jc w:val="both"/>
        <w:rPr>
          <w:rFonts w:ascii="Times New Roman" w:hAnsi="Times New Roman" w:cs="Times New Roman"/>
          <w:sz w:val="24"/>
          <w:szCs w:val="24"/>
        </w:rPr>
      </w:pPr>
      <w:r w:rsidRPr="0025174B">
        <w:rPr>
          <w:rFonts w:ascii="Times New Roman" w:hAnsi="Times New Roman" w:cs="Times New Roman"/>
          <w:sz w:val="24"/>
          <w:szCs w:val="24"/>
        </w:rPr>
        <w:t xml:space="preserve">Domes priekšsēdētājs                         </w:t>
      </w:r>
      <w:r w:rsidRPr="0025174B">
        <w:rPr>
          <w:rFonts w:ascii="Times New Roman" w:hAnsi="Times New Roman" w:cs="Times New Roman"/>
          <w:i/>
          <w:sz w:val="24"/>
          <w:szCs w:val="24"/>
        </w:rPr>
        <w:t>(personiskais parakts)</w:t>
      </w:r>
      <w:r w:rsidRPr="0025174B">
        <w:rPr>
          <w:rFonts w:ascii="Times New Roman" w:hAnsi="Times New Roman" w:cs="Times New Roman"/>
          <w:sz w:val="24"/>
          <w:szCs w:val="24"/>
        </w:rPr>
        <w:t xml:space="preserve">                         A.Elksniņš</w:t>
      </w:r>
    </w:p>
    <w:p w:rsidR="006D4F58" w:rsidRDefault="006D4F58"/>
    <w:p w:rsidR="006D4F58" w:rsidRPr="006D4F58" w:rsidRDefault="006D4F58" w:rsidP="006D4F58"/>
    <w:p w:rsidR="006D4F58" w:rsidRPr="006D4F58" w:rsidRDefault="006D4F58" w:rsidP="006D4F58"/>
    <w:p w:rsidR="006D4F58" w:rsidRPr="006D4F58" w:rsidRDefault="006D4F58" w:rsidP="006D4F58"/>
    <w:p w:rsidR="006D4F58" w:rsidRPr="006D4F58" w:rsidRDefault="006D4F58" w:rsidP="006D4F58"/>
    <w:p w:rsidR="006D4F58" w:rsidRPr="006D4F58" w:rsidRDefault="006D4F58" w:rsidP="006D4F58"/>
    <w:p w:rsidR="006D4F58" w:rsidRPr="006D4F58" w:rsidRDefault="006D4F58" w:rsidP="006D4F58"/>
    <w:p w:rsidR="006D4F58" w:rsidRPr="006D4F58" w:rsidRDefault="006D4F58" w:rsidP="006D4F58"/>
    <w:p w:rsidR="006D4F58" w:rsidRPr="006D4F58" w:rsidRDefault="006D4F58" w:rsidP="006D4F58"/>
    <w:p w:rsidR="006D4F58" w:rsidRPr="006D4F58" w:rsidRDefault="006D4F58" w:rsidP="006D4F58"/>
    <w:p w:rsidR="00452F82" w:rsidRPr="006D4F58" w:rsidRDefault="00452F82" w:rsidP="006D4F58">
      <w:bookmarkStart w:id="0" w:name="_GoBack"/>
      <w:bookmarkEnd w:id="0"/>
    </w:p>
    <w:sectPr w:rsidR="00452F82" w:rsidRPr="006D4F58" w:rsidSect="00D71457">
      <w:pgSz w:w="11906" w:h="16838"/>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34"/>
    <w:rsid w:val="0025174B"/>
    <w:rsid w:val="00452F82"/>
    <w:rsid w:val="006D4F58"/>
    <w:rsid w:val="00A91D34"/>
    <w:rsid w:val="00BF55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1581E-8D2A-4709-B68E-9B2605A3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832</Words>
  <Characters>475</Characters>
  <Application>Microsoft Office Word</Application>
  <DocSecurity>0</DocSecurity>
  <Lines>3</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cp:revision>
  <dcterms:created xsi:type="dcterms:W3CDTF">2022-11-21T13:56:00Z</dcterms:created>
  <dcterms:modified xsi:type="dcterms:W3CDTF">2022-11-30T07:10:00Z</dcterms:modified>
</cp:coreProperties>
</file>