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83" w:rsidRPr="00951383" w:rsidRDefault="00951383" w:rsidP="00951383">
      <w:pPr>
        <w:spacing w:after="0" w:line="240" w:lineRule="auto"/>
        <w:jc w:val="center"/>
        <w:rPr>
          <w:rFonts w:eastAsia="Times New Roman"/>
          <w:noProof/>
          <w:sz w:val="26"/>
          <w:szCs w:val="26"/>
          <w:lang w:val="lv-LV"/>
        </w:rPr>
      </w:pPr>
      <w:r w:rsidRPr="00951383">
        <w:rPr>
          <w:rFonts w:eastAsia="Times New Roman"/>
          <w:noProof/>
          <w:szCs w:val="24"/>
          <w:lang w:val="lv-LV" w:eastAsia="lv-LV"/>
        </w:rPr>
        <w:drawing>
          <wp:inline distT="0" distB="0" distL="0" distR="0" wp14:anchorId="0C1BF2B2" wp14:editId="273A3B6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83" w:rsidRPr="00951383" w:rsidRDefault="00951383" w:rsidP="00951383">
      <w:pPr>
        <w:spacing w:after="0" w:line="240" w:lineRule="auto"/>
        <w:jc w:val="center"/>
        <w:rPr>
          <w:rFonts w:eastAsia="Times New Roman"/>
          <w:noProof/>
          <w:sz w:val="10"/>
          <w:szCs w:val="10"/>
          <w:lang w:val="lv-LV"/>
        </w:rPr>
      </w:pPr>
    </w:p>
    <w:p w:rsidR="00951383" w:rsidRPr="00951383" w:rsidRDefault="00951383" w:rsidP="00951383">
      <w:pPr>
        <w:spacing w:after="0" w:line="240" w:lineRule="auto"/>
        <w:jc w:val="center"/>
        <w:rPr>
          <w:rFonts w:eastAsia="Times New Roman"/>
          <w:b/>
          <w:bCs/>
          <w:noProof/>
          <w:sz w:val="27"/>
          <w:szCs w:val="27"/>
          <w:lang w:val="lv-LV"/>
        </w:rPr>
      </w:pPr>
      <w:r w:rsidRPr="00951383">
        <w:rPr>
          <w:rFonts w:eastAsia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04D23B" wp14:editId="5401DAA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B45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951383">
        <w:rPr>
          <w:rFonts w:eastAsia="Times New Roman"/>
          <w:b/>
          <w:bCs/>
          <w:noProof/>
          <w:sz w:val="27"/>
          <w:szCs w:val="27"/>
          <w:lang w:val="lv-LV"/>
        </w:rPr>
        <w:t>DAUGAVPILS DOME</w:t>
      </w:r>
    </w:p>
    <w:p w:rsidR="00951383" w:rsidRPr="00951383" w:rsidRDefault="00951383" w:rsidP="00951383">
      <w:pPr>
        <w:spacing w:after="0"/>
        <w:ind w:right="-341"/>
        <w:jc w:val="center"/>
        <w:rPr>
          <w:rFonts w:eastAsia="Times New Roman"/>
          <w:noProof/>
          <w:sz w:val="10"/>
          <w:szCs w:val="10"/>
          <w:lang w:val="lv-LV"/>
        </w:rPr>
      </w:pPr>
    </w:p>
    <w:p w:rsidR="00951383" w:rsidRPr="00951383" w:rsidRDefault="00951383" w:rsidP="00951383">
      <w:pPr>
        <w:spacing w:after="0"/>
        <w:ind w:right="-341"/>
        <w:jc w:val="center"/>
        <w:rPr>
          <w:rFonts w:eastAsia="Times New Roman"/>
          <w:sz w:val="20"/>
          <w:szCs w:val="20"/>
          <w:lang w:val="lv-LV"/>
        </w:rPr>
      </w:pPr>
      <w:r w:rsidRPr="00951383">
        <w:rPr>
          <w:rFonts w:eastAsia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951383" w:rsidRPr="00951383" w:rsidRDefault="00951383" w:rsidP="00951383">
      <w:pPr>
        <w:tabs>
          <w:tab w:val="left" w:pos="3960"/>
        </w:tabs>
        <w:spacing w:after="0" w:line="240" w:lineRule="auto"/>
        <w:jc w:val="center"/>
        <w:rPr>
          <w:rFonts w:eastAsia="Times New Roman"/>
          <w:noProof/>
          <w:w w:val="120"/>
          <w:sz w:val="16"/>
          <w:szCs w:val="16"/>
          <w:lang w:val="lv-LV"/>
        </w:rPr>
      </w:pPr>
      <w:r w:rsidRPr="00951383">
        <w:rPr>
          <w:rFonts w:eastAsia="Times New Roman"/>
          <w:sz w:val="20"/>
          <w:szCs w:val="20"/>
          <w:lang w:val="lv-LV"/>
        </w:rPr>
        <w:t xml:space="preserve">e-pasts info@daugavpils.lv   </w:t>
      </w:r>
      <w:r w:rsidRPr="00951383">
        <w:rPr>
          <w:rFonts w:eastAsia="Times New Roman"/>
          <w:sz w:val="20"/>
          <w:szCs w:val="20"/>
          <w:u w:val="single"/>
          <w:lang w:val="lv-LV"/>
        </w:rPr>
        <w:t>www.daugavpils.lv</w:t>
      </w:r>
    </w:p>
    <w:p w:rsidR="00951383" w:rsidRPr="00951383" w:rsidRDefault="00951383" w:rsidP="00951383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noProof/>
          <w:szCs w:val="24"/>
          <w:lang w:val="lv-LV"/>
        </w:rPr>
      </w:pPr>
    </w:p>
    <w:p w:rsidR="00951383" w:rsidRPr="00951383" w:rsidRDefault="00951383" w:rsidP="00951383">
      <w:pPr>
        <w:keepNext/>
        <w:spacing w:after="0" w:line="240" w:lineRule="auto"/>
        <w:jc w:val="center"/>
        <w:outlineLvl w:val="0"/>
        <w:rPr>
          <w:rFonts w:eastAsia="Times New Roman"/>
          <w:bCs/>
          <w:noProof/>
          <w:szCs w:val="24"/>
          <w:lang w:val="lv-LV"/>
        </w:rPr>
      </w:pPr>
      <w:r w:rsidRPr="00951383">
        <w:rPr>
          <w:rFonts w:eastAsia="Times New Roman"/>
          <w:b/>
          <w:bCs/>
          <w:noProof/>
          <w:szCs w:val="24"/>
          <w:lang w:val="lv-LV"/>
        </w:rPr>
        <w:t>L Ē M U M S</w:t>
      </w:r>
    </w:p>
    <w:p w:rsidR="00951383" w:rsidRPr="00951383" w:rsidRDefault="00951383" w:rsidP="00951383">
      <w:pPr>
        <w:tabs>
          <w:tab w:val="left" w:pos="1440"/>
          <w:tab w:val="center" w:pos="4629"/>
        </w:tabs>
        <w:spacing w:after="0" w:line="240" w:lineRule="auto"/>
        <w:jc w:val="center"/>
        <w:rPr>
          <w:rFonts w:eastAsia="Times New Roman"/>
          <w:noProof/>
          <w:sz w:val="16"/>
          <w:szCs w:val="16"/>
          <w:lang w:val="lv-LV"/>
        </w:rPr>
      </w:pPr>
    </w:p>
    <w:p w:rsidR="00951383" w:rsidRPr="00951383" w:rsidRDefault="00951383" w:rsidP="00951383">
      <w:pPr>
        <w:tabs>
          <w:tab w:val="left" w:pos="1440"/>
          <w:tab w:val="center" w:pos="4629"/>
        </w:tabs>
        <w:spacing w:after="0" w:line="240" w:lineRule="auto"/>
        <w:jc w:val="center"/>
        <w:rPr>
          <w:rFonts w:eastAsia="Times New Roman"/>
          <w:noProof/>
          <w:szCs w:val="24"/>
          <w:lang w:val="lv-LV"/>
        </w:rPr>
      </w:pPr>
      <w:r w:rsidRPr="00951383">
        <w:rPr>
          <w:rFonts w:eastAsia="Times New Roman"/>
          <w:noProof/>
          <w:szCs w:val="24"/>
          <w:lang w:val="lv-LV"/>
        </w:rPr>
        <w:t>Daugavpilī</w:t>
      </w:r>
    </w:p>
    <w:p w:rsidR="00531B9B" w:rsidRDefault="00531B9B" w:rsidP="009B16C5">
      <w:pPr>
        <w:spacing w:after="0" w:line="240" w:lineRule="auto"/>
        <w:jc w:val="both"/>
        <w:rPr>
          <w:szCs w:val="24"/>
          <w:lang w:val="lv-LV"/>
        </w:rPr>
      </w:pPr>
      <w:bookmarkStart w:id="0" w:name="_GoBack"/>
      <w:bookmarkEnd w:id="0"/>
    </w:p>
    <w:p w:rsidR="00531B9B" w:rsidRDefault="00531B9B" w:rsidP="009B16C5">
      <w:pPr>
        <w:spacing w:after="0" w:line="240" w:lineRule="auto"/>
        <w:jc w:val="both"/>
        <w:rPr>
          <w:szCs w:val="24"/>
          <w:lang w:val="lv-LV"/>
        </w:rPr>
      </w:pPr>
    </w:p>
    <w:p w:rsidR="00531B9B" w:rsidRPr="00EE1D3B" w:rsidRDefault="00531B9B" w:rsidP="00531B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noProof/>
          <w:lang w:val="pt-BR" w:eastAsia="lv-LV"/>
        </w:rPr>
      </w:pPr>
      <w:r w:rsidRPr="00EE1D3B">
        <w:rPr>
          <w:noProof/>
          <w:lang w:val="pt-BR" w:eastAsia="lv-LV"/>
        </w:rPr>
        <w:t>2022.gada 28.aprī</w:t>
      </w:r>
      <w:r w:rsidR="006E6C02">
        <w:rPr>
          <w:noProof/>
          <w:lang w:val="pt-BR" w:eastAsia="lv-LV"/>
        </w:rPr>
        <w:t>lī</w:t>
      </w:r>
      <w:r w:rsidRPr="00EE1D3B">
        <w:rPr>
          <w:noProof/>
          <w:lang w:val="pt-BR" w:eastAsia="lv-LV"/>
        </w:rPr>
        <w:t xml:space="preserve">    </w:t>
      </w:r>
      <w:r w:rsidRPr="00EE1D3B">
        <w:rPr>
          <w:noProof/>
          <w:color w:val="FF0000"/>
          <w:lang w:val="pt-BR" w:eastAsia="lv-LV"/>
        </w:rPr>
        <w:t xml:space="preserve">                                                                     </w:t>
      </w:r>
      <w:r>
        <w:rPr>
          <w:noProof/>
          <w:color w:val="FF0000"/>
          <w:lang w:val="pt-BR" w:eastAsia="lv-LV"/>
        </w:rPr>
        <w:t xml:space="preserve">                  </w:t>
      </w:r>
      <w:r w:rsidRPr="00EE1D3B">
        <w:rPr>
          <w:b/>
          <w:noProof/>
          <w:lang w:val="pt-BR" w:eastAsia="lv-LV"/>
        </w:rPr>
        <w:t>Nr.2</w:t>
      </w:r>
      <w:r>
        <w:rPr>
          <w:b/>
          <w:noProof/>
          <w:lang w:val="pt-BR" w:eastAsia="lv-LV"/>
        </w:rPr>
        <w:t>45</w:t>
      </w:r>
    </w:p>
    <w:p w:rsidR="00531B9B" w:rsidRPr="00EE1D3B" w:rsidRDefault="00531B9B" w:rsidP="00531B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lang w:val="pt-BR" w:eastAsia="lv-LV"/>
        </w:rPr>
      </w:pPr>
      <w:r w:rsidRPr="00EE1D3B">
        <w:rPr>
          <w:b/>
          <w:noProof/>
          <w:lang w:val="pt-BR" w:eastAsia="lv-LV"/>
        </w:rPr>
        <w:t xml:space="preserve">                                                                                                        </w:t>
      </w:r>
      <w:r>
        <w:rPr>
          <w:b/>
          <w:noProof/>
          <w:lang w:val="pt-BR" w:eastAsia="lv-LV"/>
        </w:rPr>
        <w:t xml:space="preserve">                  </w:t>
      </w:r>
      <w:r w:rsidRPr="00EE1D3B">
        <w:rPr>
          <w:lang w:val="pt-BR" w:eastAsia="lv-LV"/>
        </w:rPr>
        <w:t xml:space="preserve">(prot. Nr.14,  </w:t>
      </w:r>
      <w:r>
        <w:rPr>
          <w:lang w:val="pt-BR" w:eastAsia="lv-LV"/>
        </w:rPr>
        <w:t>7</w:t>
      </w:r>
      <w:r w:rsidRPr="00EE1D3B">
        <w:rPr>
          <w:lang w:val="pt-BR" w:eastAsia="lv-LV"/>
        </w:rPr>
        <w:t>.§)</w:t>
      </w:r>
    </w:p>
    <w:p w:rsidR="00531B9B" w:rsidRDefault="00531B9B" w:rsidP="009B16C5">
      <w:pPr>
        <w:spacing w:after="0" w:line="240" w:lineRule="auto"/>
        <w:jc w:val="both"/>
        <w:rPr>
          <w:szCs w:val="24"/>
          <w:lang w:val="lv-LV"/>
        </w:rPr>
      </w:pPr>
    </w:p>
    <w:p w:rsidR="009B16C5" w:rsidRPr="00CC4DDD" w:rsidRDefault="009B16C5" w:rsidP="009B16C5">
      <w:pPr>
        <w:spacing w:after="0" w:line="240" w:lineRule="auto"/>
        <w:ind w:firstLine="567"/>
        <w:jc w:val="center"/>
        <w:rPr>
          <w:b/>
          <w:szCs w:val="24"/>
          <w:lang w:val="lv-LV"/>
        </w:rPr>
      </w:pPr>
      <w:r w:rsidRPr="00CC4DDD">
        <w:rPr>
          <w:b/>
          <w:szCs w:val="24"/>
          <w:lang w:val="lv-LV"/>
        </w:rPr>
        <w:t>Par grozījumiem Daugavpils pilsētas domes 2019. gada. 10. oktobra lēmumā nr. 602 „Par Daugavpils pilsētas pašvaldības iestādes „Daugavpils Marka Rotko mākslas centrs” maksas pakalpojumu cenrādi”</w:t>
      </w:r>
    </w:p>
    <w:p w:rsidR="009B16C5" w:rsidRPr="00CC4DDD" w:rsidRDefault="009B16C5" w:rsidP="009B16C5">
      <w:pPr>
        <w:spacing w:after="0" w:line="240" w:lineRule="auto"/>
        <w:ind w:firstLine="567"/>
        <w:jc w:val="center"/>
        <w:rPr>
          <w:b/>
          <w:szCs w:val="24"/>
          <w:lang w:val="lv-LV"/>
        </w:rPr>
      </w:pPr>
    </w:p>
    <w:p w:rsidR="009B16C5" w:rsidRPr="00CC4DDD" w:rsidRDefault="009B16C5" w:rsidP="009B16C5">
      <w:pPr>
        <w:spacing w:after="0" w:line="240" w:lineRule="auto"/>
        <w:ind w:firstLine="567"/>
        <w:jc w:val="both"/>
        <w:rPr>
          <w:szCs w:val="24"/>
          <w:lang w:val="lv-LV"/>
        </w:rPr>
      </w:pPr>
      <w:r w:rsidRPr="00CC4DDD">
        <w:rPr>
          <w:szCs w:val="24"/>
          <w:lang w:val="lv-LV"/>
        </w:rPr>
        <w:t>Pamatojoties uz likuma “Par pašvaldībām“ 21.panta pirmās daļas 14.punkta                                 g) apakšpunktu,  Daugavpils pilsētas domes 201</w:t>
      </w:r>
      <w:r w:rsidR="00EC7F6F" w:rsidRPr="00CC4DDD">
        <w:rPr>
          <w:szCs w:val="24"/>
          <w:lang w:val="lv-LV"/>
        </w:rPr>
        <w:t>9</w:t>
      </w:r>
      <w:r w:rsidRPr="00CC4DDD">
        <w:rPr>
          <w:szCs w:val="24"/>
          <w:lang w:val="lv-LV"/>
        </w:rPr>
        <w:t>.gada 28.</w:t>
      </w:r>
      <w:r w:rsidR="000E49CD" w:rsidRPr="00CC4DDD">
        <w:rPr>
          <w:szCs w:val="24"/>
          <w:lang w:val="lv-LV"/>
        </w:rPr>
        <w:t>maija</w:t>
      </w:r>
      <w:r w:rsidRPr="00CC4DDD">
        <w:rPr>
          <w:szCs w:val="24"/>
          <w:lang w:val="lv-LV"/>
        </w:rPr>
        <w:t xml:space="preserve"> noteikumiem “Noteikumi par Daugavpils pilsētas pašvaldības budžeta iestāžu sniegto maksas pakalpojumu izcenojumu noteikšanas un apstiprināšanas kārtību, maksas pakalpojumu ieņēmumu un izdevumu uzskaiti”, </w:t>
      </w:r>
      <w:r w:rsidR="00EC7F6F" w:rsidRPr="00CC4DDD">
        <w:rPr>
          <w:szCs w:val="24"/>
          <w:lang w:val="lv-LV"/>
        </w:rPr>
        <w:t xml:space="preserve">ņemot vērā </w:t>
      </w:r>
      <w:r w:rsidRPr="00CC4DDD">
        <w:rPr>
          <w:szCs w:val="24"/>
          <w:lang w:val="lv-LV"/>
        </w:rPr>
        <w:t>Daugavpils domes Izglītības un kultūras jautājumu komitejas 202</w:t>
      </w:r>
      <w:r w:rsidR="00BA1320" w:rsidRPr="00CC4DDD">
        <w:rPr>
          <w:szCs w:val="24"/>
          <w:lang w:val="lv-LV"/>
        </w:rPr>
        <w:t>2</w:t>
      </w:r>
      <w:r w:rsidRPr="00CC4DDD">
        <w:rPr>
          <w:szCs w:val="24"/>
          <w:lang w:val="lv-LV"/>
        </w:rPr>
        <w:t xml:space="preserve">.gada  </w:t>
      </w:r>
      <w:r w:rsidR="00E81311">
        <w:rPr>
          <w:szCs w:val="24"/>
          <w:lang w:val="lv-LV"/>
        </w:rPr>
        <w:t>22</w:t>
      </w:r>
      <w:r w:rsidRPr="00CC4DDD">
        <w:rPr>
          <w:szCs w:val="24"/>
          <w:lang w:val="lv-LV"/>
        </w:rPr>
        <w:t>.</w:t>
      </w:r>
      <w:r w:rsidR="00BA1320" w:rsidRPr="00CC4DDD">
        <w:rPr>
          <w:szCs w:val="24"/>
          <w:lang w:val="lv-LV"/>
        </w:rPr>
        <w:t>aprīļa</w:t>
      </w:r>
      <w:r w:rsidRPr="00CC4DDD">
        <w:rPr>
          <w:szCs w:val="24"/>
          <w:lang w:val="lv-LV"/>
        </w:rPr>
        <w:t xml:space="preserve"> atzinumu</w:t>
      </w:r>
      <w:r w:rsidR="00BA1320" w:rsidRPr="00CC4DDD">
        <w:rPr>
          <w:szCs w:val="24"/>
          <w:lang w:val="lv-LV"/>
        </w:rPr>
        <w:t xml:space="preserve"> un</w:t>
      </w:r>
      <w:r w:rsidRPr="00CC4DDD">
        <w:rPr>
          <w:szCs w:val="24"/>
          <w:lang w:val="lv-LV"/>
        </w:rPr>
        <w:t xml:space="preserve"> Daugavpils domes Finanšu komitejas 202</w:t>
      </w:r>
      <w:r w:rsidR="00BA1320" w:rsidRPr="00CC4DDD">
        <w:rPr>
          <w:szCs w:val="24"/>
          <w:lang w:val="lv-LV"/>
        </w:rPr>
        <w:t>2</w:t>
      </w:r>
      <w:r w:rsidRPr="00CC4DDD">
        <w:rPr>
          <w:szCs w:val="24"/>
          <w:lang w:val="lv-LV"/>
        </w:rPr>
        <w:t xml:space="preserve">.gada </w:t>
      </w:r>
      <w:r w:rsidR="00EC661D">
        <w:rPr>
          <w:szCs w:val="24"/>
          <w:lang w:val="lv-LV"/>
        </w:rPr>
        <w:t>22</w:t>
      </w:r>
      <w:r w:rsidRPr="00CC4DDD">
        <w:rPr>
          <w:szCs w:val="24"/>
          <w:lang w:val="lv-LV"/>
        </w:rPr>
        <w:t>.</w:t>
      </w:r>
      <w:r w:rsidR="00BA1320" w:rsidRPr="00CC4DDD">
        <w:rPr>
          <w:szCs w:val="24"/>
          <w:lang w:val="lv-LV"/>
        </w:rPr>
        <w:t>aprīļa</w:t>
      </w:r>
      <w:r w:rsidRPr="00CC4DDD">
        <w:rPr>
          <w:szCs w:val="24"/>
          <w:lang w:val="lv-LV"/>
        </w:rPr>
        <w:t xml:space="preserve"> atzinumu,</w:t>
      </w:r>
      <w:r w:rsidR="00E81311">
        <w:rPr>
          <w:szCs w:val="24"/>
          <w:lang w:val="lv-LV"/>
        </w:rPr>
        <w:t xml:space="preserve"> </w:t>
      </w:r>
      <w:r w:rsidR="00E81311" w:rsidRPr="00C254F6">
        <w:rPr>
          <w:iCs/>
          <w:color w:val="000000" w:themeColor="text1"/>
          <w:lang w:val="lv-LV"/>
        </w:rPr>
        <w:t xml:space="preserve">atklāti balsojot: PAR – 15 (I.Aleksejevs, P.Dzalbe, A.Elksniņš,  A.Gržibovskis, L.Jankovska, I.Jukšinska, V.Kononovs, N.Kožanova, M.Lavrenovs, J.Lāčplēsis, I.Prelatovs, V.Sporāne-Hudojana, I.Šķinčs, M.Truskovskis, A.Vasiļjevs), PRET – nav, ATTURAS – nav,  </w:t>
      </w:r>
      <w:r w:rsidR="00E81311" w:rsidRPr="00C254F6">
        <w:rPr>
          <w:color w:val="000000" w:themeColor="text1"/>
          <w:lang w:val="lv-LV"/>
        </w:rPr>
        <w:t xml:space="preserve"> </w:t>
      </w:r>
      <w:r w:rsidRPr="00C254F6">
        <w:rPr>
          <w:color w:val="000000" w:themeColor="text1"/>
          <w:szCs w:val="24"/>
          <w:lang w:val="lv-LV"/>
        </w:rPr>
        <w:t xml:space="preserve">  </w:t>
      </w:r>
      <w:r w:rsidRPr="00CC4DDD">
        <w:rPr>
          <w:b/>
          <w:szCs w:val="24"/>
          <w:lang w:val="lv-LV"/>
        </w:rPr>
        <w:t>Daugavpils dome nolemj:</w:t>
      </w:r>
    </w:p>
    <w:p w:rsidR="009B16C5" w:rsidRPr="00CC4DDD" w:rsidRDefault="009B16C5" w:rsidP="009B16C5">
      <w:pPr>
        <w:pStyle w:val="BodyTextIndent2"/>
        <w:spacing w:line="240" w:lineRule="auto"/>
        <w:ind w:left="567" w:firstLine="0"/>
        <w:rPr>
          <w:bCs/>
          <w:szCs w:val="24"/>
        </w:rPr>
      </w:pPr>
    </w:p>
    <w:p w:rsidR="009B16C5" w:rsidRPr="00AA5057" w:rsidRDefault="009B16C5" w:rsidP="006D3E26">
      <w:pPr>
        <w:pStyle w:val="BodyTextIndent2"/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CC4DDD">
        <w:rPr>
          <w:szCs w:val="24"/>
        </w:rPr>
        <w:t xml:space="preserve">Daugavpils pilsētas domes 2019. gada. 10. oktobra lēmumā nr. 602 „Par Daugavpils pilsētas pašvaldības iestādes „Daugavpils Marka Rotko mākslas centrs” maksas pakalpojumu cenrādi” </w:t>
      </w:r>
      <w:r w:rsidR="00D53BA8" w:rsidRPr="00CC4DDD">
        <w:rPr>
          <w:szCs w:val="24"/>
        </w:rPr>
        <w:t xml:space="preserve">izdarīt </w:t>
      </w:r>
      <w:r w:rsidRPr="00CC4DDD">
        <w:rPr>
          <w:szCs w:val="24"/>
        </w:rPr>
        <w:t>šādus grozījumus:</w:t>
      </w:r>
    </w:p>
    <w:p w:rsidR="00AA5057" w:rsidRPr="00CC4DDD" w:rsidRDefault="00AA5057" w:rsidP="00AA5057">
      <w:pPr>
        <w:pStyle w:val="BodyTextIndent2"/>
        <w:numPr>
          <w:ilvl w:val="1"/>
          <w:numId w:val="1"/>
        </w:numPr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Pr="00CC4DDD">
        <w:rPr>
          <w:szCs w:val="24"/>
        </w:rPr>
        <w:t>Papildināt 1.1. punktu šādā redakcijā:</w:t>
      </w:r>
    </w:p>
    <w:p w:rsidR="009B16C5" w:rsidRPr="00CC4DDD" w:rsidRDefault="009B16C5" w:rsidP="009B16C5">
      <w:pPr>
        <w:pStyle w:val="BodyTextIndent2"/>
        <w:spacing w:line="240" w:lineRule="auto"/>
        <w:ind w:left="927" w:firstLine="0"/>
        <w:rPr>
          <w:szCs w:val="24"/>
        </w:rPr>
      </w:pPr>
    </w:p>
    <w:tbl>
      <w:tblPr>
        <w:tblW w:w="970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580"/>
        <w:gridCol w:w="1403"/>
        <w:gridCol w:w="1500"/>
        <w:gridCol w:w="1017"/>
        <w:gridCol w:w="1392"/>
      </w:tblGrid>
      <w:tr w:rsidR="00CC4DDD" w:rsidRPr="00CC4DDD" w:rsidTr="00AE559D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FA06C6">
            <w:pPr>
              <w:suppressAutoHyphens/>
              <w:autoSpaceDN w:val="0"/>
              <w:spacing w:after="0" w:line="240" w:lineRule="auto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>N.p.k.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CB53D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  <w:szCs w:val="24"/>
                <w:lang w:val="lv-LV"/>
              </w:rPr>
            </w:pPr>
            <w:r w:rsidRPr="00CC4DDD">
              <w:rPr>
                <w:b/>
                <w:szCs w:val="24"/>
                <w:lang w:val="lv-LV"/>
              </w:rPr>
              <w:t xml:space="preserve">Pakalpojumu veids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CB53DA">
            <w:pPr>
              <w:suppressAutoHyphens/>
              <w:autoSpaceDN w:val="0"/>
              <w:spacing w:after="0" w:line="240" w:lineRule="auto"/>
              <w:textAlignment w:val="baseline"/>
              <w:rPr>
                <w:b/>
                <w:szCs w:val="24"/>
                <w:lang w:val="lv-LV"/>
              </w:rPr>
            </w:pPr>
            <w:r w:rsidRPr="00CC4DDD">
              <w:rPr>
                <w:b/>
                <w:szCs w:val="24"/>
                <w:lang w:val="lv-LV"/>
              </w:rPr>
              <w:t>Mērv</w:t>
            </w:r>
            <w:r w:rsidR="00CB53DA" w:rsidRPr="00CC4DDD">
              <w:rPr>
                <w:b/>
                <w:szCs w:val="24"/>
                <w:lang w:val="lv-LV"/>
              </w:rPr>
              <w:t>ienība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AE5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Cs w:val="24"/>
                <w:lang w:val="lv-LV"/>
              </w:rPr>
            </w:pPr>
            <w:r w:rsidRPr="00CC4DDD">
              <w:rPr>
                <w:b/>
                <w:szCs w:val="24"/>
                <w:lang w:val="lv-LV"/>
              </w:rPr>
              <w:t>Cena bez PVN, EUR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AE5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Cs w:val="24"/>
                <w:lang w:val="lv-LV"/>
              </w:rPr>
            </w:pPr>
            <w:r w:rsidRPr="00CC4DDD">
              <w:rPr>
                <w:b/>
                <w:szCs w:val="24"/>
                <w:lang w:val="lv-LV"/>
              </w:rPr>
              <w:t>PVN, EUR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AE5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Cs w:val="24"/>
                <w:lang w:val="lv-LV"/>
              </w:rPr>
            </w:pPr>
            <w:r w:rsidRPr="00CC4DDD">
              <w:rPr>
                <w:b/>
                <w:szCs w:val="24"/>
                <w:lang w:val="lv-LV"/>
              </w:rPr>
              <w:t>Cena ar PVN, EUR</w:t>
            </w:r>
          </w:p>
        </w:tc>
      </w:tr>
      <w:tr w:rsidR="00CC4DDD" w:rsidRPr="00CC4DDD" w:rsidTr="00AE559D">
        <w:trPr>
          <w:trHeight w:val="678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5D5378">
            <w:pPr>
              <w:suppressAutoHyphens/>
              <w:autoSpaceDN w:val="0"/>
              <w:spacing w:after="0" w:line="240" w:lineRule="auto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>1.1.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5D5378" w:rsidP="00CB53DA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 xml:space="preserve">Ekspozīciju un izstāžu apmeklējums </w:t>
            </w:r>
            <w:r w:rsidR="001B0806" w:rsidRPr="00CC4DDD">
              <w:rPr>
                <w:szCs w:val="24"/>
                <w:lang w:val="lv-LV"/>
              </w:rPr>
              <w:t>P.</w:t>
            </w:r>
            <w:r w:rsidRPr="00CC4DDD">
              <w:rPr>
                <w:szCs w:val="24"/>
                <w:lang w:val="lv-LV"/>
              </w:rPr>
              <w:t xml:space="preserve">Martinsona mājā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5D5378" w:rsidP="005D537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>1 biļete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AE5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>6.00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677792" w:rsidP="00FA00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>0*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5" w:rsidRPr="00CC4DDD" w:rsidRDefault="009B16C5" w:rsidP="00AE5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Cs w:val="24"/>
                <w:lang w:val="lv-LV"/>
              </w:rPr>
            </w:pPr>
            <w:r w:rsidRPr="00CC4DDD">
              <w:rPr>
                <w:szCs w:val="24"/>
                <w:lang w:val="lv-LV"/>
              </w:rPr>
              <w:t>6.00</w:t>
            </w:r>
          </w:p>
        </w:tc>
      </w:tr>
    </w:tbl>
    <w:p w:rsidR="009B16C5" w:rsidRPr="00CC4DDD" w:rsidRDefault="009B16C5" w:rsidP="009B16C5">
      <w:pPr>
        <w:pStyle w:val="BodyTextIndent2"/>
        <w:spacing w:line="240" w:lineRule="auto"/>
        <w:ind w:left="567" w:firstLine="0"/>
        <w:jc w:val="both"/>
        <w:rPr>
          <w:szCs w:val="24"/>
        </w:rPr>
      </w:pPr>
    </w:p>
    <w:p w:rsidR="009B16C5" w:rsidRPr="00CC4DDD" w:rsidRDefault="00AA5057" w:rsidP="00AA5057">
      <w:pPr>
        <w:pStyle w:val="BodyTextIndent2"/>
        <w:numPr>
          <w:ilvl w:val="1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677792" w:rsidRPr="00CC4DDD">
        <w:rPr>
          <w:szCs w:val="24"/>
        </w:rPr>
        <w:t>Papildināt</w:t>
      </w:r>
      <w:r w:rsidR="009B16C5" w:rsidRPr="00CC4DDD">
        <w:rPr>
          <w:szCs w:val="24"/>
        </w:rPr>
        <w:t xml:space="preserve"> pielikum</w:t>
      </w:r>
      <w:r w:rsidR="005D5378" w:rsidRPr="00CC4DDD">
        <w:rPr>
          <w:szCs w:val="24"/>
        </w:rPr>
        <w:t>u</w:t>
      </w:r>
      <w:r w:rsidR="009B16C5" w:rsidRPr="00CC4DDD">
        <w:rPr>
          <w:szCs w:val="24"/>
        </w:rPr>
        <w:t xml:space="preserve"> Nr.</w:t>
      </w:r>
      <w:r w:rsidR="00677792" w:rsidRPr="00CC4DDD">
        <w:rPr>
          <w:szCs w:val="24"/>
        </w:rPr>
        <w:t>1</w:t>
      </w:r>
      <w:r w:rsidR="009B16C5" w:rsidRPr="00CC4DDD">
        <w:rPr>
          <w:szCs w:val="24"/>
        </w:rPr>
        <w:t xml:space="preserve"> DMRMC </w:t>
      </w:r>
      <w:r w:rsidR="00D83C74" w:rsidRPr="00CC4DDD">
        <w:rPr>
          <w:szCs w:val="24"/>
        </w:rPr>
        <w:t xml:space="preserve">maksas pakalpojumu </w:t>
      </w:r>
      <w:r w:rsidR="009B16C5" w:rsidRPr="00CC4DDD">
        <w:rPr>
          <w:szCs w:val="24"/>
        </w:rPr>
        <w:t>cenrādim (Daugavpils pilsētas domes 2019. gada 10. oktobra lēmums nr. 602) šādā redakcijā: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644"/>
        <w:gridCol w:w="1353"/>
        <w:gridCol w:w="1543"/>
        <w:gridCol w:w="987"/>
        <w:gridCol w:w="1403"/>
      </w:tblGrid>
      <w:tr w:rsidR="00CC4DDD" w:rsidRPr="00CC4DDD" w:rsidTr="00FA06C6">
        <w:tc>
          <w:tcPr>
            <w:tcW w:w="81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b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b/>
                <w:sz w:val="23"/>
                <w:szCs w:val="23"/>
                <w:lang w:val="lv-LV"/>
              </w:rPr>
              <w:t>N.p.k.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b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b/>
                <w:sz w:val="23"/>
                <w:szCs w:val="23"/>
                <w:lang w:val="lv-LV"/>
              </w:rPr>
              <w:t>Pakalpojumu veids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b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b/>
                <w:sz w:val="23"/>
                <w:szCs w:val="23"/>
                <w:lang w:val="lv-LV"/>
              </w:rPr>
              <w:t>Mērvienība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b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b/>
                <w:sz w:val="23"/>
                <w:szCs w:val="23"/>
                <w:lang w:val="lv-LV"/>
              </w:rPr>
              <w:t>Cena bez PVN, EUR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b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b/>
                <w:sz w:val="23"/>
                <w:szCs w:val="23"/>
                <w:lang w:val="lv-LV"/>
              </w:rPr>
              <w:t>PVN, EUR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b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b/>
                <w:sz w:val="23"/>
                <w:szCs w:val="23"/>
                <w:lang w:val="lv-LV"/>
              </w:rPr>
              <w:t>Cena ar PVN, EUR</w:t>
            </w:r>
          </w:p>
        </w:tc>
      </w:tr>
      <w:tr w:rsidR="00CC4DDD" w:rsidRPr="00CC4DDD" w:rsidTr="00FA06C6">
        <w:tc>
          <w:tcPr>
            <w:tcW w:w="9747" w:type="dxa"/>
            <w:gridSpan w:val="6"/>
          </w:tcPr>
          <w:p w:rsidR="00CB53DA" w:rsidRPr="00CC4DDD" w:rsidRDefault="00677792" w:rsidP="00CB53DA">
            <w:pPr>
              <w:rPr>
                <w:rFonts w:eastAsiaTheme="minorHAnsi"/>
                <w:i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i/>
                <w:sz w:val="23"/>
                <w:szCs w:val="23"/>
                <w:lang w:val="lv-LV"/>
              </w:rPr>
              <w:t>8</w:t>
            </w:r>
            <w:r w:rsidR="00CB53DA" w:rsidRPr="00CC4DDD">
              <w:rPr>
                <w:rFonts w:eastAsiaTheme="minorHAnsi"/>
                <w:i/>
                <w:sz w:val="23"/>
                <w:szCs w:val="23"/>
                <w:lang w:val="lv-LV"/>
              </w:rPr>
              <w:t>.Ekspozīciju un izstāžu apmeklējums P.Martinsona mājā</w:t>
            </w:r>
          </w:p>
        </w:tc>
      </w:tr>
      <w:tr w:rsidR="00CC4DDD" w:rsidRPr="00CC4DDD" w:rsidTr="00FA06C6">
        <w:tc>
          <w:tcPr>
            <w:tcW w:w="817" w:type="dxa"/>
          </w:tcPr>
          <w:p w:rsidR="00CB53DA" w:rsidRPr="00CC4DDD" w:rsidRDefault="00677792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8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.1.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Ieejas biļete apmeklējumam skolēniem, studentiem, pensionāriem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3.00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3.00</w:t>
            </w:r>
          </w:p>
        </w:tc>
      </w:tr>
      <w:tr w:rsidR="00CC4DDD" w:rsidRPr="00CC4DDD" w:rsidTr="00FA06C6">
        <w:tc>
          <w:tcPr>
            <w:tcW w:w="817" w:type="dxa"/>
            <w:vMerge w:val="restart"/>
          </w:tcPr>
          <w:p w:rsidR="00CB53DA" w:rsidRPr="00CC4DDD" w:rsidRDefault="00677792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8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.2.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bērniem līdz 6 gadu vecumam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 xml:space="preserve">Biļete bērnu namu audzēkņiem 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Daugavpils Saules skolas studentiem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Daugavpils Universitātes mūzikas un mākslas fakultātes studentiem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1.un 2.grupas invalīdiem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1.grupas invalīdu vai bērnu-invalīdu pavadošai personai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ekskursiju grupas vadītājiem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Latvijas muzeju darbiniekiem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ICOM un ICOMOS biedriem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Biļete Latvijas mākslinieku savienības vai Daugavpils mākslinieku asociācijas biedriem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  <w:vMerge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 xml:space="preserve">Biļete preses pārstāvjiem 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0.00</w:t>
            </w:r>
          </w:p>
        </w:tc>
      </w:tr>
      <w:tr w:rsidR="00CC4DDD" w:rsidRPr="00CC4DDD" w:rsidTr="00FA06C6">
        <w:tc>
          <w:tcPr>
            <w:tcW w:w="817" w:type="dxa"/>
          </w:tcPr>
          <w:p w:rsidR="00CB53DA" w:rsidRPr="00CC4DDD" w:rsidRDefault="00677792" w:rsidP="000E10DF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8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</w:t>
            </w:r>
            <w:r w:rsidR="000E10DF" w:rsidRPr="00CC4DDD">
              <w:rPr>
                <w:rFonts w:eastAsiaTheme="minorHAnsi"/>
                <w:sz w:val="23"/>
                <w:szCs w:val="23"/>
                <w:lang w:val="lv-LV"/>
              </w:rPr>
              <w:t>3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 xml:space="preserve">Ģimenes biļete (2 pieaugušie +2 bērni vecumā no 6 līdz 17 gadiem) 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14.00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14.00</w:t>
            </w:r>
          </w:p>
        </w:tc>
      </w:tr>
      <w:tr w:rsidR="00CC4DDD" w:rsidRPr="00CC4DDD" w:rsidTr="00FA06C6">
        <w:tc>
          <w:tcPr>
            <w:tcW w:w="817" w:type="dxa"/>
          </w:tcPr>
          <w:p w:rsidR="00CB53DA" w:rsidRPr="00CC4DDD" w:rsidRDefault="00677792" w:rsidP="000E10DF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8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</w:t>
            </w:r>
            <w:r w:rsidR="000E10DF" w:rsidRPr="00CC4DDD">
              <w:rPr>
                <w:rFonts w:eastAsiaTheme="minorHAnsi"/>
                <w:sz w:val="23"/>
                <w:szCs w:val="23"/>
                <w:lang w:val="lv-LV"/>
              </w:rPr>
              <w:t>4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 xml:space="preserve">Ieejas biļete „3+Ģimenes kartes” īpašniekiem-pieaugušiem 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5.00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5.00</w:t>
            </w:r>
          </w:p>
        </w:tc>
      </w:tr>
      <w:tr w:rsidR="00CC4DDD" w:rsidRPr="00CC4DDD" w:rsidTr="00FA06C6">
        <w:tc>
          <w:tcPr>
            <w:tcW w:w="817" w:type="dxa"/>
          </w:tcPr>
          <w:p w:rsidR="00CB53DA" w:rsidRPr="00CC4DDD" w:rsidRDefault="00677792" w:rsidP="000E10DF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8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</w:t>
            </w:r>
            <w:r w:rsidR="000E10DF" w:rsidRPr="00CC4DDD">
              <w:rPr>
                <w:rFonts w:eastAsiaTheme="minorHAnsi"/>
                <w:sz w:val="23"/>
                <w:szCs w:val="23"/>
                <w:lang w:val="lv-LV"/>
              </w:rPr>
              <w:t>5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 xml:space="preserve">Ieejas biļete „3+Ģimenes kartes” īpašniekiem-bērniem vecumā no 6 līdz 17 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biļete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3.00</w:t>
            </w:r>
          </w:p>
        </w:tc>
        <w:tc>
          <w:tcPr>
            <w:tcW w:w="987" w:type="dxa"/>
          </w:tcPr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3.00</w:t>
            </w:r>
          </w:p>
        </w:tc>
      </w:tr>
      <w:tr w:rsidR="00CC4DDD" w:rsidRPr="00951383" w:rsidTr="00FA06C6">
        <w:tc>
          <w:tcPr>
            <w:tcW w:w="9747" w:type="dxa"/>
            <w:gridSpan w:val="6"/>
          </w:tcPr>
          <w:p w:rsidR="00CB53DA" w:rsidRPr="00CC4DDD" w:rsidRDefault="00677792" w:rsidP="00CB53DA">
            <w:pPr>
              <w:rPr>
                <w:rFonts w:eastAsiaTheme="minorHAnsi"/>
                <w:i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i/>
                <w:sz w:val="23"/>
                <w:szCs w:val="23"/>
                <w:lang w:val="lv-LV"/>
              </w:rPr>
              <w:t>9</w:t>
            </w:r>
            <w:r w:rsidR="00CB53DA" w:rsidRPr="00CC4DDD">
              <w:rPr>
                <w:rFonts w:eastAsiaTheme="minorHAnsi"/>
                <w:i/>
                <w:sz w:val="23"/>
                <w:szCs w:val="23"/>
                <w:lang w:val="lv-LV"/>
              </w:rPr>
              <w:t>.</w:t>
            </w:r>
            <w:r w:rsidR="000E10DF" w:rsidRPr="00CC4DDD">
              <w:rPr>
                <w:rFonts w:eastAsiaTheme="minorHAnsi"/>
                <w:i/>
                <w:sz w:val="23"/>
                <w:szCs w:val="23"/>
                <w:lang w:val="lv-LV"/>
              </w:rPr>
              <w:t xml:space="preserve"> </w:t>
            </w:r>
            <w:r w:rsidR="00CB53DA" w:rsidRPr="00CC4DDD">
              <w:rPr>
                <w:rFonts w:eastAsiaTheme="minorHAnsi"/>
                <w:i/>
                <w:sz w:val="23"/>
                <w:szCs w:val="23"/>
                <w:lang w:val="lv-LV"/>
              </w:rPr>
              <w:t xml:space="preserve">Ekspozīciju un izstāžu apmeklējums P.Martinsona mājā – </w:t>
            </w:r>
          </w:p>
          <w:p w:rsidR="00CB53DA" w:rsidRPr="00CC4DDD" w:rsidRDefault="00CB53DA" w:rsidP="00CB53DA">
            <w:pPr>
              <w:rPr>
                <w:rFonts w:eastAsiaTheme="minorHAnsi"/>
                <w:i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i/>
                <w:sz w:val="23"/>
                <w:szCs w:val="23"/>
                <w:lang w:val="lv-LV"/>
              </w:rPr>
              <w:t>grupas (10-25 cilvēki) ar gidu latviešu, angļu, krievu valodās</w:t>
            </w:r>
          </w:p>
        </w:tc>
      </w:tr>
      <w:tr w:rsidR="00CC4DDD" w:rsidRPr="00CC4DDD" w:rsidTr="00FA06C6">
        <w:tc>
          <w:tcPr>
            <w:tcW w:w="817" w:type="dxa"/>
          </w:tcPr>
          <w:p w:rsidR="00CB53DA" w:rsidRPr="00CC4DDD" w:rsidRDefault="00677792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9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.1.</w:t>
            </w:r>
          </w:p>
        </w:tc>
        <w:tc>
          <w:tcPr>
            <w:tcW w:w="3644" w:type="dxa"/>
          </w:tcPr>
          <w:p w:rsidR="00CB53DA" w:rsidRPr="00CC4DDD" w:rsidRDefault="00CB53DA" w:rsidP="000E10DF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Ieejas biļete apmeklējumam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persona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5.40</w:t>
            </w:r>
          </w:p>
        </w:tc>
        <w:tc>
          <w:tcPr>
            <w:tcW w:w="987" w:type="dxa"/>
          </w:tcPr>
          <w:p w:rsidR="00CB53DA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5.40</w:t>
            </w:r>
          </w:p>
        </w:tc>
      </w:tr>
      <w:tr w:rsidR="00CC4DDD" w:rsidRPr="00CC4DDD" w:rsidTr="00FA06C6">
        <w:tc>
          <w:tcPr>
            <w:tcW w:w="817" w:type="dxa"/>
          </w:tcPr>
          <w:p w:rsidR="00CB53DA" w:rsidRPr="00CC4DDD" w:rsidRDefault="00677792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9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.2.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Ieejas biļete apmeklējumam skolēniem, studentiem, pensionāriem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 persona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2.70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1B0806" w:rsidRPr="00CC4DDD" w:rsidRDefault="001B0806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0*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2.70</w:t>
            </w:r>
          </w:p>
        </w:tc>
      </w:tr>
      <w:tr w:rsidR="00CC4DDD" w:rsidRPr="00951383" w:rsidTr="00FA06C6">
        <w:tc>
          <w:tcPr>
            <w:tcW w:w="9747" w:type="dxa"/>
            <w:gridSpan w:val="6"/>
          </w:tcPr>
          <w:p w:rsidR="00CB53DA" w:rsidRPr="00CC4DDD" w:rsidRDefault="00677792" w:rsidP="00CB53DA">
            <w:pPr>
              <w:rPr>
                <w:rFonts w:eastAsiaTheme="minorHAnsi"/>
                <w:i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i/>
                <w:sz w:val="23"/>
                <w:szCs w:val="23"/>
                <w:lang w:val="lv-LV"/>
              </w:rPr>
              <w:t>10.</w:t>
            </w:r>
            <w:r w:rsidR="00CB53DA" w:rsidRPr="00CC4DDD">
              <w:rPr>
                <w:rFonts w:eastAsiaTheme="minorHAnsi"/>
                <w:i/>
                <w:sz w:val="23"/>
                <w:szCs w:val="23"/>
                <w:lang w:val="lv-LV"/>
              </w:rPr>
              <w:t xml:space="preserve"> Gida pakalpojumi</w:t>
            </w:r>
            <w:r w:rsidRPr="00CC4DDD">
              <w:rPr>
                <w:rFonts w:eastAsiaTheme="minorHAnsi"/>
                <w:i/>
                <w:sz w:val="23"/>
                <w:szCs w:val="23"/>
                <w:lang w:val="lv-LV"/>
              </w:rPr>
              <w:t xml:space="preserve"> P.Martinsona mājā</w:t>
            </w:r>
          </w:p>
        </w:tc>
      </w:tr>
      <w:tr w:rsidR="00CC4DDD" w:rsidRPr="00CC4DDD" w:rsidTr="00FA06C6">
        <w:trPr>
          <w:trHeight w:val="585"/>
        </w:trPr>
        <w:tc>
          <w:tcPr>
            <w:tcW w:w="817" w:type="dxa"/>
          </w:tcPr>
          <w:p w:rsidR="00CB53DA" w:rsidRPr="00CC4DDD" w:rsidRDefault="00677792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10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>.1.</w:t>
            </w:r>
          </w:p>
        </w:tc>
        <w:tc>
          <w:tcPr>
            <w:tcW w:w="3644" w:type="dxa"/>
          </w:tcPr>
          <w:p w:rsidR="00CB53DA" w:rsidRPr="00CC4DDD" w:rsidRDefault="00CB53DA" w:rsidP="00CB53DA">
            <w:pPr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Individuāli gida pakalpojumi latviešu, angļu vai krievu valodā</w:t>
            </w:r>
          </w:p>
        </w:tc>
        <w:tc>
          <w:tcPr>
            <w:tcW w:w="135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677792" w:rsidP="00677792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45</w:t>
            </w:r>
            <w:r w:rsidR="00CB53DA" w:rsidRPr="00CC4DDD">
              <w:rPr>
                <w:rFonts w:eastAsiaTheme="minorHAnsi"/>
                <w:sz w:val="23"/>
                <w:szCs w:val="23"/>
                <w:lang w:val="lv-LV"/>
              </w:rPr>
              <w:t xml:space="preserve"> min.</w:t>
            </w:r>
          </w:p>
        </w:tc>
        <w:tc>
          <w:tcPr>
            <w:tcW w:w="154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4.96</w:t>
            </w:r>
          </w:p>
        </w:tc>
        <w:tc>
          <w:tcPr>
            <w:tcW w:w="987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164D7C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1.04</w:t>
            </w:r>
          </w:p>
        </w:tc>
        <w:tc>
          <w:tcPr>
            <w:tcW w:w="1403" w:type="dxa"/>
          </w:tcPr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</w:p>
          <w:p w:rsidR="00CB53DA" w:rsidRPr="00CC4DDD" w:rsidRDefault="00CB53DA" w:rsidP="00CB53DA">
            <w:pPr>
              <w:jc w:val="center"/>
              <w:rPr>
                <w:rFonts w:eastAsiaTheme="minorHAnsi"/>
                <w:sz w:val="23"/>
                <w:szCs w:val="23"/>
                <w:lang w:val="lv-LV"/>
              </w:rPr>
            </w:pPr>
            <w:r w:rsidRPr="00CC4DDD">
              <w:rPr>
                <w:rFonts w:eastAsiaTheme="minorHAnsi"/>
                <w:sz w:val="23"/>
                <w:szCs w:val="23"/>
                <w:lang w:val="lv-LV"/>
              </w:rPr>
              <w:t>6.00</w:t>
            </w:r>
          </w:p>
        </w:tc>
      </w:tr>
    </w:tbl>
    <w:p w:rsidR="00D83C74" w:rsidRPr="00CC4DDD" w:rsidRDefault="00D83C74" w:rsidP="00D83C74">
      <w:pPr>
        <w:pStyle w:val="BodyTextIndent2"/>
        <w:spacing w:line="240" w:lineRule="auto"/>
        <w:ind w:left="1276" w:hanging="349"/>
        <w:rPr>
          <w:sz w:val="18"/>
          <w:szCs w:val="18"/>
        </w:rPr>
      </w:pPr>
      <w:r w:rsidRPr="00CC4DDD">
        <w:rPr>
          <w:sz w:val="18"/>
          <w:szCs w:val="18"/>
        </w:rPr>
        <w:t xml:space="preserve">  *   Pakalpojumiem pievienotās vērtības nodoklis netiek piemērots saskaņā ar Pievienotās vērtības nodokļa likuma 52. panta pirmās daļas 17. punkta "d" apakšpunktu.</w:t>
      </w:r>
    </w:p>
    <w:p w:rsidR="00D83C74" w:rsidRPr="00CC4DDD" w:rsidRDefault="00D83C74" w:rsidP="00D83C74">
      <w:pPr>
        <w:pStyle w:val="BodyTextIndent2"/>
        <w:spacing w:line="240" w:lineRule="auto"/>
        <w:ind w:left="927" w:firstLine="0"/>
        <w:rPr>
          <w:sz w:val="18"/>
          <w:szCs w:val="18"/>
        </w:rPr>
      </w:pPr>
      <w:r w:rsidRPr="00CC4DDD">
        <w:rPr>
          <w:sz w:val="18"/>
          <w:szCs w:val="18"/>
        </w:rPr>
        <w:t xml:space="preserve"> </w:t>
      </w:r>
    </w:p>
    <w:p w:rsidR="009B16C5" w:rsidRPr="00CC4DDD" w:rsidRDefault="009B16C5" w:rsidP="009B16C5">
      <w:pPr>
        <w:pStyle w:val="BodyTextIndent2"/>
        <w:spacing w:line="240" w:lineRule="auto"/>
        <w:ind w:left="927" w:firstLine="0"/>
        <w:rPr>
          <w:bCs/>
          <w:sz w:val="18"/>
          <w:szCs w:val="18"/>
        </w:rPr>
      </w:pPr>
    </w:p>
    <w:p w:rsidR="009B16C5" w:rsidRPr="00CC4DDD" w:rsidRDefault="009B16C5" w:rsidP="009B16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szCs w:val="24"/>
          <w:lang w:val="lv-LV"/>
        </w:rPr>
      </w:pPr>
      <w:r w:rsidRPr="00CC4DDD">
        <w:rPr>
          <w:bCs/>
          <w:szCs w:val="24"/>
          <w:lang w:val="lv-LV"/>
        </w:rPr>
        <w:t>Šīs lēmums stāj</w:t>
      </w:r>
      <w:r w:rsidR="00164D7C">
        <w:rPr>
          <w:bCs/>
          <w:szCs w:val="24"/>
          <w:lang w:val="lv-LV"/>
        </w:rPr>
        <w:t>a</w:t>
      </w:r>
      <w:r w:rsidRPr="00CC4DDD">
        <w:rPr>
          <w:bCs/>
          <w:szCs w:val="24"/>
          <w:lang w:val="lv-LV"/>
        </w:rPr>
        <w:t>s spēkā no 202</w:t>
      </w:r>
      <w:r w:rsidR="005D5378" w:rsidRPr="00CC4DDD">
        <w:rPr>
          <w:bCs/>
          <w:szCs w:val="24"/>
          <w:lang w:val="lv-LV"/>
        </w:rPr>
        <w:t>2</w:t>
      </w:r>
      <w:r w:rsidRPr="00CC4DDD">
        <w:rPr>
          <w:bCs/>
          <w:szCs w:val="24"/>
          <w:lang w:val="lv-LV"/>
        </w:rPr>
        <w:t xml:space="preserve">. gada </w:t>
      </w:r>
      <w:r w:rsidR="00C254F6">
        <w:rPr>
          <w:bCs/>
          <w:szCs w:val="24"/>
          <w:lang w:val="lv-LV"/>
        </w:rPr>
        <w:t>28.aprī</w:t>
      </w:r>
      <w:r w:rsidR="00363EFF">
        <w:rPr>
          <w:bCs/>
          <w:szCs w:val="24"/>
          <w:lang w:val="lv-LV"/>
        </w:rPr>
        <w:t>ļa.</w:t>
      </w:r>
    </w:p>
    <w:p w:rsidR="009B16C5" w:rsidRPr="00CC4DDD" w:rsidRDefault="009B16C5" w:rsidP="009B16C5">
      <w:pPr>
        <w:pStyle w:val="ListParagraph"/>
        <w:spacing w:after="0" w:line="240" w:lineRule="auto"/>
        <w:ind w:left="927"/>
        <w:jc w:val="both"/>
        <w:rPr>
          <w:bCs/>
          <w:szCs w:val="24"/>
          <w:lang w:val="lv-LV"/>
        </w:rPr>
      </w:pPr>
    </w:p>
    <w:p w:rsidR="009B16C5" w:rsidRPr="00CC4DDD" w:rsidRDefault="009B16C5" w:rsidP="009B16C5">
      <w:pPr>
        <w:pStyle w:val="ListParagraph"/>
        <w:spacing w:after="0" w:line="240" w:lineRule="auto"/>
        <w:ind w:left="927"/>
        <w:jc w:val="both"/>
        <w:rPr>
          <w:bCs/>
          <w:szCs w:val="24"/>
          <w:lang w:val="lv-LV"/>
        </w:rPr>
      </w:pPr>
    </w:p>
    <w:p w:rsidR="009B16C5" w:rsidRDefault="009B16C5" w:rsidP="009B16C5">
      <w:pPr>
        <w:pStyle w:val="ListParagraph"/>
        <w:spacing w:after="0" w:line="240" w:lineRule="auto"/>
        <w:ind w:left="927"/>
        <w:jc w:val="both"/>
        <w:rPr>
          <w:bCs/>
          <w:szCs w:val="24"/>
          <w:lang w:val="lv-LV"/>
        </w:rPr>
      </w:pPr>
    </w:p>
    <w:p w:rsidR="004F0A9F" w:rsidRPr="00CC4DDD" w:rsidRDefault="004F0A9F" w:rsidP="009B16C5">
      <w:pPr>
        <w:pStyle w:val="ListParagraph"/>
        <w:spacing w:after="0" w:line="240" w:lineRule="auto"/>
        <w:ind w:left="927"/>
        <w:jc w:val="both"/>
        <w:rPr>
          <w:bCs/>
          <w:szCs w:val="24"/>
          <w:lang w:val="lv-LV"/>
        </w:rPr>
      </w:pPr>
    </w:p>
    <w:p w:rsidR="009B16C5" w:rsidRPr="00951383" w:rsidRDefault="00531B9B" w:rsidP="00951383">
      <w:pPr>
        <w:rPr>
          <w:lang w:val="en-US"/>
        </w:rPr>
      </w:pPr>
      <w:r>
        <w:rPr>
          <w:bCs/>
          <w:szCs w:val="24"/>
          <w:lang w:val="lv-LV"/>
        </w:rPr>
        <w:t>D</w:t>
      </w:r>
      <w:r w:rsidR="009B16C5" w:rsidRPr="00CC4DDD">
        <w:rPr>
          <w:bCs/>
          <w:szCs w:val="24"/>
          <w:lang w:val="lv-LV"/>
        </w:rPr>
        <w:t>omes priekšsēdētājs</w:t>
      </w:r>
      <w:r w:rsidR="009B16C5" w:rsidRPr="00CC4DDD">
        <w:rPr>
          <w:bCs/>
          <w:szCs w:val="24"/>
          <w:lang w:val="lv-LV"/>
        </w:rPr>
        <w:tab/>
      </w:r>
      <w:r w:rsidR="009B16C5" w:rsidRPr="00CC4DDD">
        <w:rPr>
          <w:bCs/>
          <w:szCs w:val="24"/>
          <w:lang w:val="lv-LV"/>
        </w:rPr>
        <w:tab/>
      </w:r>
      <w:r w:rsidR="009B16C5" w:rsidRPr="00CC4DDD">
        <w:rPr>
          <w:bCs/>
          <w:szCs w:val="24"/>
          <w:lang w:val="lv-LV"/>
        </w:rPr>
        <w:tab/>
      </w:r>
      <w:r w:rsidR="00951383" w:rsidRPr="00951383">
        <w:rPr>
          <w:bCs/>
          <w:i/>
          <w:lang w:val="en-US"/>
        </w:rPr>
        <w:t>(personiskais paraksts)</w:t>
      </w:r>
      <w:r>
        <w:rPr>
          <w:bCs/>
          <w:szCs w:val="24"/>
          <w:lang w:val="lv-LV"/>
        </w:rPr>
        <w:t xml:space="preserve">                      </w:t>
      </w:r>
      <w:r w:rsidR="004F0A9F">
        <w:rPr>
          <w:bCs/>
          <w:szCs w:val="24"/>
          <w:lang w:val="lv-LV"/>
        </w:rPr>
        <w:t xml:space="preserve">    </w:t>
      </w:r>
      <w:r>
        <w:rPr>
          <w:bCs/>
          <w:szCs w:val="24"/>
          <w:lang w:val="lv-LV"/>
        </w:rPr>
        <w:t xml:space="preserve"> </w:t>
      </w:r>
      <w:r w:rsidR="005D5378" w:rsidRPr="00CC4DDD">
        <w:rPr>
          <w:bCs/>
          <w:szCs w:val="24"/>
          <w:lang w:val="lv-LV"/>
        </w:rPr>
        <w:t>A.Elksniņš</w:t>
      </w:r>
    </w:p>
    <w:sectPr w:rsidR="009B16C5" w:rsidRPr="00951383" w:rsidSect="002B5009">
      <w:head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28" w:rsidRDefault="00791B28">
      <w:pPr>
        <w:spacing w:after="0" w:line="240" w:lineRule="auto"/>
      </w:pPr>
      <w:r>
        <w:separator/>
      </w:r>
    </w:p>
  </w:endnote>
  <w:endnote w:type="continuationSeparator" w:id="0">
    <w:p w:rsidR="00791B28" w:rsidRDefault="0079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28" w:rsidRDefault="00791B28">
      <w:pPr>
        <w:spacing w:after="0" w:line="240" w:lineRule="auto"/>
      </w:pPr>
      <w:r>
        <w:separator/>
      </w:r>
    </w:p>
  </w:footnote>
  <w:footnote w:type="continuationSeparator" w:id="0">
    <w:p w:rsidR="00791B28" w:rsidRDefault="0079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7E" w:rsidRDefault="00AE559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383">
      <w:rPr>
        <w:noProof/>
      </w:rPr>
      <w:t>2</w:t>
    </w:r>
    <w:r>
      <w:rPr>
        <w:noProof/>
      </w:rPr>
      <w:fldChar w:fldCharType="end"/>
    </w:r>
  </w:p>
  <w:p w:rsidR="00514E7E" w:rsidRDefault="00951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94467"/>
    <w:multiLevelType w:val="hybridMultilevel"/>
    <w:tmpl w:val="A6FA2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C4D15"/>
    <w:multiLevelType w:val="multilevel"/>
    <w:tmpl w:val="66EE21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C5"/>
    <w:rsid w:val="000E10DF"/>
    <w:rsid w:val="000E49CD"/>
    <w:rsid w:val="00164D7C"/>
    <w:rsid w:val="00195096"/>
    <w:rsid w:val="001B0806"/>
    <w:rsid w:val="001F1E85"/>
    <w:rsid w:val="002002F3"/>
    <w:rsid w:val="00201FE0"/>
    <w:rsid w:val="002B5009"/>
    <w:rsid w:val="00360819"/>
    <w:rsid w:val="00363EFF"/>
    <w:rsid w:val="00481092"/>
    <w:rsid w:val="004F0A9F"/>
    <w:rsid w:val="00531B9B"/>
    <w:rsid w:val="005719FE"/>
    <w:rsid w:val="005D5378"/>
    <w:rsid w:val="006114BF"/>
    <w:rsid w:val="0062708B"/>
    <w:rsid w:val="00677792"/>
    <w:rsid w:val="006D3E26"/>
    <w:rsid w:val="006D5FF0"/>
    <w:rsid w:val="006E6C02"/>
    <w:rsid w:val="00762C2A"/>
    <w:rsid w:val="00791B28"/>
    <w:rsid w:val="00951383"/>
    <w:rsid w:val="00963033"/>
    <w:rsid w:val="009B16C5"/>
    <w:rsid w:val="00AA5057"/>
    <w:rsid w:val="00AE559D"/>
    <w:rsid w:val="00BA1320"/>
    <w:rsid w:val="00BC288F"/>
    <w:rsid w:val="00C254F6"/>
    <w:rsid w:val="00C8159A"/>
    <w:rsid w:val="00CB53DA"/>
    <w:rsid w:val="00CC4DDD"/>
    <w:rsid w:val="00CC7D9C"/>
    <w:rsid w:val="00CF16B9"/>
    <w:rsid w:val="00D53BA8"/>
    <w:rsid w:val="00D83C74"/>
    <w:rsid w:val="00DB5947"/>
    <w:rsid w:val="00E81311"/>
    <w:rsid w:val="00EC661D"/>
    <w:rsid w:val="00EC7F6F"/>
    <w:rsid w:val="00F45377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EA3F16-B16B-41DC-95B1-28B8651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C5"/>
    <w:rPr>
      <w:rFonts w:ascii="Times New Roman" w:eastAsia="Calibri" w:hAnsi="Times New Roman" w:cs="Times New Roman"/>
      <w:sz w:val="24"/>
      <w:szCs w:val="28"/>
      <w:lang w:val="ru-RU"/>
    </w:rPr>
  </w:style>
  <w:style w:type="paragraph" w:styleId="Heading1">
    <w:name w:val="heading 1"/>
    <w:basedOn w:val="Normal"/>
    <w:next w:val="Normal"/>
    <w:link w:val="Heading1Char"/>
    <w:qFormat/>
    <w:rsid w:val="009B16C5"/>
    <w:pPr>
      <w:keepNext/>
      <w:spacing w:after="0" w:line="360" w:lineRule="auto"/>
      <w:jc w:val="both"/>
      <w:outlineLvl w:val="0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6C5"/>
    <w:rPr>
      <w:rFonts w:ascii="Times New Roman" w:eastAsia="Calibri" w:hAnsi="Times New Roman" w:cs="Times New Roman"/>
      <w:b/>
      <w:sz w:val="24"/>
      <w:szCs w:val="28"/>
    </w:rPr>
  </w:style>
  <w:style w:type="paragraph" w:styleId="BodyTextIndent2">
    <w:name w:val="Body Text Indent 2"/>
    <w:basedOn w:val="Normal"/>
    <w:link w:val="BodyTextIndent2Char"/>
    <w:semiHidden/>
    <w:rsid w:val="009B16C5"/>
    <w:pPr>
      <w:spacing w:after="0" w:line="360" w:lineRule="auto"/>
      <w:ind w:firstLine="709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16C5"/>
    <w:rPr>
      <w:rFonts w:ascii="Times New Roman" w:eastAsia="Calibri" w:hAnsi="Times New Roman" w:cs="Times New Roman"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9B1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16C5"/>
    <w:rPr>
      <w:rFonts w:ascii="Times New Roman" w:eastAsia="Calibri" w:hAnsi="Times New Roman" w:cs="Times New Roman"/>
      <w:sz w:val="24"/>
      <w:szCs w:val="2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B1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6C5"/>
    <w:rPr>
      <w:rFonts w:ascii="Times New Roman" w:eastAsia="Calibri" w:hAnsi="Times New Roman" w:cs="Times New Roman"/>
      <w:sz w:val="24"/>
      <w:szCs w:val="28"/>
      <w:lang w:val="ru-RU"/>
    </w:rPr>
  </w:style>
  <w:style w:type="paragraph" w:styleId="ListParagraph">
    <w:name w:val="List Paragraph"/>
    <w:basedOn w:val="Normal"/>
    <w:uiPriority w:val="34"/>
    <w:qFormat/>
    <w:rsid w:val="009B16C5"/>
    <w:pPr>
      <w:ind w:left="720"/>
      <w:contextualSpacing/>
    </w:pPr>
  </w:style>
  <w:style w:type="table" w:styleId="TableGrid">
    <w:name w:val="Table Grid"/>
    <w:basedOn w:val="TableNormal"/>
    <w:uiPriority w:val="59"/>
    <w:rsid w:val="00CB53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31B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Milana Ivanova</cp:lastModifiedBy>
  <cp:revision>16</cp:revision>
  <cp:lastPrinted>2022-04-29T05:10:00Z</cp:lastPrinted>
  <dcterms:created xsi:type="dcterms:W3CDTF">2022-04-06T13:15:00Z</dcterms:created>
  <dcterms:modified xsi:type="dcterms:W3CDTF">2022-05-05T11:46:00Z</dcterms:modified>
</cp:coreProperties>
</file>