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B4C" w:rsidRDefault="00275B4C" w:rsidP="002E2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E2723" w:rsidRPr="002E2723" w:rsidRDefault="002E2723" w:rsidP="002E272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lang w:val="lv-LV" w:eastAsia="zh-CN"/>
        </w:rPr>
      </w:pPr>
      <w:r w:rsidRPr="002E2723">
        <w:rPr>
          <w:rFonts w:ascii="Times New Roman" w:eastAsia="Calibri" w:hAnsi="Times New Roman" w:cs="Times New Roman"/>
          <w:noProof/>
          <w:lang w:val="lv-LV" w:eastAsia="zh-CN"/>
        </w:rPr>
        <w:drawing>
          <wp:inline distT="0" distB="0" distL="0" distR="0" wp14:anchorId="39084DDE" wp14:editId="6E498003">
            <wp:extent cx="485140" cy="588645"/>
            <wp:effectExtent l="0" t="0" r="0" b="1905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723" w:rsidRPr="002E2723" w:rsidRDefault="002E2723" w:rsidP="002E272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lv-LV" w:eastAsia="zh-CN"/>
        </w:rPr>
      </w:pPr>
      <w:r w:rsidRPr="002E272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158E7E" wp14:editId="6AB48DFC">
                <wp:simplePos x="0" y="0"/>
                <wp:positionH relativeFrom="column">
                  <wp:posOffset>-40005</wp:posOffset>
                </wp:positionH>
                <wp:positionV relativeFrom="paragraph">
                  <wp:posOffset>190500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FBB1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5pt" to="47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2E2723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lv-LV" w:eastAsia="zh-CN"/>
        </w:rPr>
        <w:t>DAUGAVPILS DOME</w:t>
      </w:r>
    </w:p>
    <w:p w:rsidR="002E2723" w:rsidRPr="002E2723" w:rsidRDefault="002E2723" w:rsidP="002E2723">
      <w:pPr>
        <w:suppressAutoHyphens/>
        <w:spacing w:after="0" w:line="240" w:lineRule="auto"/>
        <w:ind w:right="-341"/>
        <w:jc w:val="center"/>
        <w:rPr>
          <w:rFonts w:ascii="Times New Roman" w:eastAsia="Calibri" w:hAnsi="Times New Roman" w:cs="Times New Roman"/>
          <w:sz w:val="20"/>
          <w:szCs w:val="20"/>
          <w:lang w:val="lv-LV" w:eastAsia="zh-CN"/>
        </w:rPr>
      </w:pPr>
      <w:r w:rsidRPr="002E2723">
        <w:rPr>
          <w:rFonts w:ascii="Times New Roman" w:eastAsia="Calibri" w:hAnsi="Times New Roman" w:cs="Times New Roman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2E2723" w:rsidRPr="002E2723" w:rsidRDefault="002E2723" w:rsidP="002E2723">
      <w:pPr>
        <w:tabs>
          <w:tab w:val="left" w:pos="39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w w:val="120"/>
          <w:sz w:val="16"/>
          <w:szCs w:val="16"/>
          <w:lang w:val="lv-LV" w:eastAsia="zh-CN"/>
        </w:rPr>
      </w:pPr>
      <w:r w:rsidRPr="002E2723">
        <w:rPr>
          <w:rFonts w:ascii="Times New Roman" w:eastAsia="Calibri" w:hAnsi="Times New Roman" w:cs="Times New Roman"/>
          <w:sz w:val="20"/>
          <w:szCs w:val="20"/>
          <w:lang w:val="lv-LV" w:eastAsia="zh-CN"/>
        </w:rPr>
        <w:t xml:space="preserve">e-pasts info@daugavpils.lv   </w:t>
      </w:r>
      <w:r w:rsidRPr="002E2723">
        <w:rPr>
          <w:rFonts w:ascii="Times New Roman" w:eastAsia="Calibri" w:hAnsi="Times New Roman" w:cs="Times New Roman"/>
          <w:sz w:val="20"/>
          <w:szCs w:val="20"/>
          <w:u w:val="single"/>
          <w:lang w:val="lv-LV" w:eastAsia="zh-CN"/>
        </w:rPr>
        <w:t>www.daugavpils.lv</w:t>
      </w:r>
    </w:p>
    <w:p w:rsidR="002E2723" w:rsidRPr="002E2723" w:rsidRDefault="002E2723" w:rsidP="002E2723">
      <w:pPr>
        <w:suppressAutoHyphens/>
        <w:rPr>
          <w:rFonts w:ascii="Calibri" w:eastAsia="Calibri" w:hAnsi="Calibri" w:cs="Times New Roman"/>
          <w:lang w:val="lv-LV" w:eastAsia="zh-CN"/>
        </w:rPr>
      </w:pPr>
    </w:p>
    <w:p w:rsidR="002E2723" w:rsidRPr="002E2723" w:rsidRDefault="002E2723" w:rsidP="002E272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 w:eastAsia="zh-CN"/>
        </w:rPr>
      </w:pPr>
      <w:r w:rsidRPr="002E27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 w:eastAsia="zh-CN"/>
        </w:rPr>
        <w:t>L Ē M U M S</w:t>
      </w:r>
    </w:p>
    <w:p w:rsidR="002E2723" w:rsidRPr="002E2723" w:rsidRDefault="002E2723" w:rsidP="002E2723">
      <w:pPr>
        <w:tabs>
          <w:tab w:val="left" w:pos="1440"/>
          <w:tab w:val="center" w:pos="462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16"/>
          <w:szCs w:val="16"/>
          <w:lang w:val="lv-LV" w:eastAsia="zh-CN"/>
        </w:rPr>
      </w:pPr>
    </w:p>
    <w:p w:rsidR="00275B4C" w:rsidRPr="002E2723" w:rsidRDefault="002E2723" w:rsidP="002E2723">
      <w:pPr>
        <w:tabs>
          <w:tab w:val="left" w:pos="1440"/>
          <w:tab w:val="center" w:pos="462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lang w:val="lv-LV" w:eastAsia="zh-CN"/>
        </w:rPr>
      </w:pPr>
      <w:r w:rsidRPr="002E2723">
        <w:rPr>
          <w:rFonts w:ascii="Times New Roman" w:eastAsia="Calibri" w:hAnsi="Times New Roman" w:cs="Times New Roman"/>
          <w:noProof/>
          <w:lang w:val="lv-LV" w:eastAsia="zh-CN"/>
        </w:rPr>
        <w:t>Daugavpilī</w:t>
      </w:r>
    </w:p>
    <w:p w:rsidR="00275B4C" w:rsidRPr="00642E90" w:rsidRDefault="00275B4C" w:rsidP="00275B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42E90">
        <w:rPr>
          <w:rFonts w:ascii="Times New Roman" w:hAnsi="Times New Roman" w:cs="Times New Roman"/>
          <w:sz w:val="24"/>
          <w:szCs w:val="24"/>
          <w:lang w:val="lv-LV"/>
        </w:rPr>
        <w:t>2022.gada 17.martā</w:t>
      </w:r>
      <w:r w:rsidRPr="00642E90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42E9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642E9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642E90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642E90">
        <w:rPr>
          <w:rFonts w:ascii="Times New Roman" w:hAnsi="Times New Roman" w:cs="Times New Roman"/>
          <w:b/>
          <w:sz w:val="24"/>
          <w:szCs w:val="24"/>
          <w:lang w:val="lv-LV"/>
        </w:rPr>
        <w:tab/>
        <w:t xml:space="preserve">                                     Nr.</w:t>
      </w:r>
      <w:r w:rsidR="0042734A" w:rsidRPr="00642E90">
        <w:rPr>
          <w:rFonts w:ascii="Times New Roman" w:hAnsi="Times New Roman" w:cs="Times New Roman"/>
          <w:b/>
          <w:sz w:val="24"/>
          <w:szCs w:val="24"/>
          <w:lang w:val="lv-LV"/>
        </w:rPr>
        <w:t>132</w:t>
      </w:r>
      <w:r w:rsidRPr="00642E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275B4C" w:rsidRPr="00275B4C" w:rsidRDefault="00275B4C" w:rsidP="00275B4C">
      <w:pPr>
        <w:spacing w:after="0" w:line="240" w:lineRule="auto"/>
        <w:ind w:left="5672" w:firstLine="709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642E90">
        <w:rPr>
          <w:rFonts w:ascii="Times New Roman" w:hAnsi="Times New Roman" w:cs="Times New Roman"/>
          <w:sz w:val="24"/>
          <w:szCs w:val="24"/>
          <w:lang w:val="lv-LV"/>
        </w:rPr>
        <w:t xml:space="preserve">               (prot. Nr.9,  </w:t>
      </w:r>
      <w:r w:rsidR="0042734A" w:rsidRPr="00642E90">
        <w:rPr>
          <w:rFonts w:ascii="Times New Roman" w:hAnsi="Times New Roman" w:cs="Times New Roman"/>
          <w:sz w:val="24"/>
          <w:szCs w:val="24"/>
          <w:lang w:val="lv-LV"/>
        </w:rPr>
        <w:t>25</w:t>
      </w:r>
      <w:r w:rsidRPr="00642E90">
        <w:rPr>
          <w:rFonts w:ascii="Times New Roman" w:hAnsi="Times New Roman" w:cs="Times New Roman"/>
          <w:sz w:val="24"/>
          <w:szCs w:val="24"/>
          <w:lang w:val="lv-LV"/>
        </w:rPr>
        <w:t>.§)</w:t>
      </w:r>
    </w:p>
    <w:p w:rsidR="00275B4C" w:rsidRDefault="00275B4C" w:rsidP="0027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75B4C" w:rsidRPr="007F462B" w:rsidRDefault="00275B4C" w:rsidP="0027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atbalstu projektam „Daugavpils cietokšņa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Mihaila vārtu</w:t>
      </w:r>
      <w:r w:rsidRPr="007F462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AMI”</w:t>
      </w:r>
    </w:p>
    <w:p w:rsidR="00275B4C" w:rsidRPr="007F462B" w:rsidRDefault="00275B4C" w:rsidP="0027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75B4C" w:rsidRPr="00275B4C" w:rsidRDefault="00275B4C" w:rsidP="00275B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  <w:r w:rsidRPr="004B32AB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  <w:lang w:val="lv-LV"/>
        </w:rPr>
        <w:t>21. panta pirmās daļas 2.</w:t>
      </w:r>
      <w:r w:rsidRPr="004B32AB">
        <w:rPr>
          <w:rFonts w:ascii="Times New Roman" w:hAnsi="Times New Roman" w:cs="Times New Roman"/>
          <w:sz w:val="24"/>
          <w:szCs w:val="24"/>
          <w:lang w:val="lv-LV"/>
        </w:rPr>
        <w:t>punktu, likuma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“Par pašvaldību budžetiem” 30.</w:t>
      </w:r>
      <w:r w:rsidRPr="004B32AB">
        <w:rPr>
          <w:rFonts w:ascii="Times New Roman" w:hAnsi="Times New Roman" w:cs="Times New Roman"/>
          <w:sz w:val="24"/>
          <w:szCs w:val="24"/>
          <w:lang w:val="lv-LV"/>
        </w:rPr>
        <w:t xml:space="preserve">pantu, Daugavpils </w:t>
      </w:r>
      <w:proofErr w:type="spellStart"/>
      <w:r w:rsidRPr="004B32AB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4B32AB">
        <w:rPr>
          <w:rFonts w:ascii="Times New Roman" w:hAnsi="Times New Roman" w:cs="Times New Roman"/>
          <w:sz w:val="24"/>
          <w:szCs w:val="24"/>
          <w:lang w:val="lv-LV"/>
        </w:rPr>
        <w:t xml:space="preserve"> un Augšdaugavas novada att</w:t>
      </w:r>
      <w:r>
        <w:rPr>
          <w:rFonts w:ascii="Times New Roman" w:hAnsi="Times New Roman" w:cs="Times New Roman"/>
          <w:sz w:val="24"/>
          <w:szCs w:val="24"/>
          <w:lang w:val="lv-LV"/>
        </w:rPr>
        <w:t>īstības programma 2022. – 2027.</w:t>
      </w:r>
      <w:r w:rsidRPr="004B32AB">
        <w:rPr>
          <w:rFonts w:ascii="Times New Roman" w:hAnsi="Times New Roman" w:cs="Times New Roman"/>
          <w:sz w:val="24"/>
          <w:szCs w:val="24"/>
          <w:lang w:val="lv-LV"/>
        </w:rPr>
        <w:t>gadam Rīcības plānu, Valsts Kultūrkapitāla fonda Kultūras mantojuma nozares projektu 2022</w:t>
      </w:r>
      <w:r>
        <w:rPr>
          <w:rFonts w:ascii="Times New Roman" w:hAnsi="Times New Roman" w:cs="Times New Roman"/>
          <w:sz w:val="24"/>
          <w:szCs w:val="24"/>
          <w:lang w:val="lv-LV"/>
        </w:rPr>
        <w:t>.gada 1.</w:t>
      </w:r>
      <w:r w:rsidRPr="004B32AB">
        <w:rPr>
          <w:rFonts w:ascii="Times New Roman" w:hAnsi="Times New Roman" w:cs="Times New Roman"/>
          <w:sz w:val="24"/>
          <w:szCs w:val="24"/>
          <w:lang w:val="lv-LV"/>
        </w:rPr>
        <w:t>konkursa rezultātiem, Daugavpils pilsētas pašvaldības Pilsētas saimniecības un attīstības komitejas 2022</w:t>
      </w:r>
      <w:r>
        <w:rPr>
          <w:rFonts w:ascii="Times New Roman" w:hAnsi="Times New Roman" w:cs="Times New Roman"/>
          <w:sz w:val="24"/>
          <w:szCs w:val="24"/>
          <w:lang w:val="lv-LV"/>
        </w:rPr>
        <w:t>.gada 10.</w:t>
      </w:r>
      <w:r w:rsidRPr="004B32AB">
        <w:rPr>
          <w:rFonts w:ascii="Times New Roman" w:hAnsi="Times New Roman" w:cs="Times New Roman"/>
          <w:sz w:val="24"/>
          <w:szCs w:val="24"/>
          <w:lang w:val="lv-LV"/>
        </w:rPr>
        <w:t>marta atzinumu un Daugavpils pilsētas pašvaldības Finanšu komitejas 2022</w:t>
      </w:r>
      <w:r>
        <w:rPr>
          <w:rFonts w:ascii="Times New Roman" w:hAnsi="Times New Roman" w:cs="Times New Roman"/>
          <w:sz w:val="24"/>
          <w:szCs w:val="24"/>
          <w:lang w:val="lv-LV"/>
        </w:rPr>
        <w:t>.gada 10.</w:t>
      </w:r>
      <w:r w:rsidRPr="004B32AB">
        <w:rPr>
          <w:rFonts w:ascii="Times New Roman" w:hAnsi="Times New Roman" w:cs="Times New Roman"/>
          <w:sz w:val="24"/>
          <w:szCs w:val="24"/>
          <w:lang w:val="lv-LV"/>
        </w:rPr>
        <w:t>marta atzinumu,</w:t>
      </w:r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="003B315E" w:rsidRPr="003B315E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atklāti balsojot:</w:t>
      </w:r>
      <w:r w:rsidR="003B315E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PAR – 13 (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P.Dzalbe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A.Gržibovskis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L.Jankovska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I.Jukšinska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V.Kononovs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N.Kožanova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M.Lavrenovs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J.Lāčplēsis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I.Prelatovs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V.Sporāne-Hudojana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I.Šķinčs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M.Truskovskis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proofErr w:type="spellStart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A.Vasiļjevs</w:t>
      </w:r>
      <w:proofErr w:type="spellEnd"/>
      <w:r w:rsidR="00642E90" w:rsidRPr="00642E90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), PRET – nav, ATTURAS – nav,</w:t>
      </w:r>
      <w:r w:rsidRPr="004B32A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42E90">
        <w:rPr>
          <w:rFonts w:ascii="Times New Roman" w:hAnsi="Times New Roman" w:cs="Times New Roman"/>
          <w:b/>
          <w:sz w:val="24"/>
          <w:szCs w:val="24"/>
          <w:lang w:val="lv-LV"/>
        </w:rPr>
        <w:t>Daugavpils dome nolemj:</w:t>
      </w:r>
    </w:p>
    <w:p w:rsidR="00275B4C" w:rsidRPr="007F462B" w:rsidRDefault="00275B4C" w:rsidP="00275B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275B4C" w:rsidRPr="007F462B" w:rsidRDefault="00275B4C" w:rsidP="00275B4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Atbalstīt Daugavpils pilsētas </w:t>
      </w:r>
      <w:r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 projektu „Daugavpils cietokšņa </w:t>
      </w:r>
      <w:r>
        <w:rPr>
          <w:rFonts w:ascii="Times New Roman" w:hAnsi="Times New Roman" w:cs="Times New Roman"/>
          <w:sz w:val="24"/>
          <w:szCs w:val="24"/>
          <w:lang w:val="lv-LV"/>
        </w:rPr>
        <w:t>Mihaila vārtu</w:t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 AMI”, saskaņā ar pielikumu Nr. 1.</w:t>
      </w:r>
    </w:p>
    <w:p w:rsidR="00275B4C" w:rsidRPr="007F462B" w:rsidRDefault="00275B4C" w:rsidP="00275B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F462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Nodrošināt līdzfinansējumu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aktivitātes</w:t>
      </w:r>
      <w:r w:rsidRPr="007F462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īstenošanai no pašvaldības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2022.gada pamat-budžeta programmas “Līdzekļi projektu realizācijai” 215,64 EUR apmērā</w:t>
      </w:r>
      <w:r w:rsidRPr="007F462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</w:p>
    <w:p w:rsidR="00275B4C" w:rsidRPr="007F462B" w:rsidRDefault="00275B4C" w:rsidP="00275B4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Kontroli par lēmuma izpildi uzdot Daugavpils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priekšsēdētāja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1.vietniekam </w:t>
      </w:r>
      <w:r>
        <w:rPr>
          <w:rFonts w:ascii="Times New Roman" w:hAnsi="Times New Roman" w:cs="Times New Roman"/>
          <w:sz w:val="24"/>
          <w:szCs w:val="24"/>
          <w:lang w:val="lv-LV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A.Vasiļjevam</w:t>
      </w:r>
      <w:proofErr w:type="spellEnd"/>
      <w:r w:rsidRPr="007F462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275B4C" w:rsidRPr="007F462B" w:rsidRDefault="00275B4C" w:rsidP="002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75B4C" w:rsidRPr="007F462B" w:rsidRDefault="00275B4C" w:rsidP="002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Pielikumā: projekta „Daugavpils cietokšņa </w:t>
      </w:r>
      <w:r>
        <w:rPr>
          <w:rFonts w:ascii="Times New Roman" w:hAnsi="Times New Roman" w:cs="Times New Roman"/>
          <w:sz w:val="24"/>
          <w:szCs w:val="24"/>
          <w:lang w:val="lv-LV"/>
        </w:rPr>
        <w:t>Mihaila vārtu</w:t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 AMI” apraksts.</w:t>
      </w:r>
    </w:p>
    <w:p w:rsidR="00642E90" w:rsidRPr="002E2723" w:rsidRDefault="00642E90" w:rsidP="00642E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:rsidR="00642E90" w:rsidRPr="002E2723" w:rsidRDefault="00642E90" w:rsidP="00642E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:rsidR="00642E90" w:rsidRPr="002E2723" w:rsidRDefault="00642E90" w:rsidP="00642E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:rsidR="00642E90" w:rsidRPr="00C94551" w:rsidRDefault="00642E90" w:rsidP="00642E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sectPr w:rsidR="00642E90" w:rsidRPr="00C94551" w:rsidSect="00BC028A"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  <w:r w:rsidRPr="00C9455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Domes priekšsēdētāja 1.vietnieks</w:t>
      </w:r>
      <w:r w:rsidRPr="00C9455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</w:r>
      <w:r w:rsidR="00C94551" w:rsidRPr="00C94551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( personiskais paraksts)</w:t>
      </w:r>
      <w:r w:rsidRPr="00C9455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  <w:t xml:space="preserve"> </w:t>
      </w:r>
      <w:r w:rsidRPr="00C9455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</w:r>
      <w:proofErr w:type="spellStart"/>
      <w:r w:rsidRPr="00C9455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A.Vasiļjevs</w:t>
      </w:r>
      <w:proofErr w:type="spellEnd"/>
      <w:r w:rsidRPr="00C9455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ab/>
      </w:r>
    </w:p>
    <w:p w:rsidR="00C85726" w:rsidRPr="00642E90" w:rsidRDefault="00642E90" w:rsidP="00642E90">
      <w:pPr>
        <w:spacing w:after="0" w:line="240" w:lineRule="auto"/>
        <w:ind w:left="6084"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lastRenderedPageBreak/>
        <w:t>Pielikums Nr.</w:t>
      </w:r>
      <w:r w:rsidR="00C85726" w:rsidRPr="00642E90">
        <w:rPr>
          <w:rFonts w:ascii="Times New Roman" w:hAnsi="Times New Roman" w:cs="Times New Roman"/>
          <w:lang w:val="lv-LV"/>
        </w:rPr>
        <w:t>1</w:t>
      </w:r>
    </w:p>
    <w:p w:rsidR="00C85726" w:rsidRPr="00642E90" w:rsidRDefault="00C85726" w:rsidP="00C85726">
      <w:pPr>
        <w:spacing w:after="0" w:line="240" w:lineRule="auto"/>
        <w:ind w:left="6804"/>
        <w:rPr>
          <w:rFonts w:ascii="Times New Roman" w:hAnsi="Times New Roman" w:cs="Times New Roman"/>
          <w:lang w:val="lv-LV"/>
        </w:rPr>
      </w:pPr>
      <w:r w:rsidRPr="00642E90">
        <w:rPr>
          <w:rFonts w:ascii="Times New Roman" w:hAnsi="Times New Roman" w:cs="Times New Roman"/>
          <w:lang w:val="lv-LV"/>
        </w:rPr>
        <w:t>Daugavpils domes</w:t>
      </w:r>
    </w:p>
    <w:p w:rsidR="00C85726" w:rsidRPr="00642E90" w:rsidRDefault="00C85726" w:rsidP="00C85726">
      <w:pPr>
        <w:spacing w:after="0" w:line="240" w:lineRule="auto"/>
        <w:ind w:left="6804"/>
        <w:rPr>
          <w:rFonts w:ascii="Times New Roman" w:hAnsi="Times New Roman" w:cs="Times New Roman"/>
          <w:lang w:val="lv-LV"/>
        </w:rPr>
      </w:pPr>
      <w:r w:rsidRPr="00642E90">
        <w:rPr>
          <w:rFonts w:ascii="Times New Roman" w:hAnsi="Times New Roman" w:cs="Times New Roman"/>
          <w:lang w:val="lv-LV"/>
        </w:rPr>
        <w:t>2022.gada 17.marta</w:t>
      </w:r>
    </w:p>
    <w:p w:rsidR="00C85726" w:rsidRPr="00642E90" w:rsidRDefault="00C85726" w:rsidP="00C85726">
      <w:pPr>
        <w:spacing w:after="0" w:line="240" w:lineRule="auto"/>
        <w:ind w:left="6804"/>
        <w:rPr>
          <w:rFonts w:ascii="Times New Roman" w:hAnsi="Times New Roman" w:cs="Times New Roman"/>
          <w:lang w:val="lv-LV"/>
        </w:rPr>
      </w:pPr>
      <w:r w:rsidRPr="00642E90">
        <w:rPr>
          <w:rFonts w:ascii="Times New Roman" w:hAnsi="Times New Roman" w:cs="Times New Roman"/>
          <w:lang w:val="lv-LV"/>
        </w:rPr>
        <w:t>lēmumam Nr.</w:t>
      </w:r>
      <w:r w:rsidR="00642E90" w:rsidRPr="00642E90">
        <w:rPr>
          <w:rFonts w:ascii="Times New Roman" w:hAnsi="Times New Roman" w:cs="Times New Roman"/>
          <w:lang w:val="lv-LV"/>
        </w:rPr>
        <w:t>132</w:t>
      </w:r>
    </w:p>
    <w:p w:rsidR="00C85726" w:rsidRPr="007F462B" w:rsidRDefault="00C85726" w:rsidP="00C8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85726" w:rsidRPr="007F462B" w:rsidRDefault="00C85726" w:rsidP="00C857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Projekta „Daugavpils cietokšņa </w:t>
      </w:r>
      <w:r>
        <w:rPr>
          <w:rFonts w:ascii="Times New Roman" w:hAnsi="Times New Roman" w:cs="Times New Roman"/>
          <w:b/>
          <w:i/>
          <w:sz w:val="24"/>
          <w:szCs w:val="24"/>
          <w:lang w:val="lv-LV"/>
        </w:rPr>
        <w:t>Mihaila vārtu</w:t>
      </w:r>
      <w:r w:rsidRPr="007F462B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AMI” apraksts</w:t>
      </w:r>
    </w:p>
    <w:p w:rsidR="00C85726" w:rsidRPr="007F462B" w:rsidRDefault="00C85726" w:rsidP="00C8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096"/>
      </w:tblGrid>
      <w:tr w:rsidR="00C85726" w:rsidRPr="007F462B" w:rsidTr="00F677CE">
        <w:tc>
          <w:tcPr>
            <w:tcW w:w="2830" w:type="dxa"/>
            <w:vAlign w:val="center"/>
          </w:tcPr>
          <w:p w:rsidR="00C85726" w:rsidRPr="003A57C0" w:rsidRDefault="00C85726" w:rsidP="00F67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pieteicējs:</w:t>
            </w:r>
          </w:p>
        </w:tc>
        <w:tc>
          <w:tcPr>
            <w:tcW w:w="6096" w:type="dxa"/>
            <w:vAlign w:val="center"/>
          </w:tcPr>
          <w:p w:rsidR="00C85726" w:rsidRPr="003A57C0" w:rsidRDefault="00C85726" w:rsidP="00F677CE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 w:rsidRPr="003A57C0">
              <w:rPr>
                <w:bCs/>
                <w:lang w:val="lv-LV"/>
              </w:rPr>
              <w:t>Daugavpils pilsētas pašvaldība</w:t>
            </w:r>
          </w:p>
        </w:tc>
      </w:tr>
      <w:tr w:rsidR="00C85726" w:rsidRPr="00C94551" w:rsidTr="00F677CE">
        <w:tc>
          <w:tcPr>
            <w:tcW w:w="2830" w:type="dxa"/>
            <w:vAlign w:val="center"/>
          </w:tcPr>
          <w:p w:rsidR="00C85726" w:rsidRPr="003A57C0" w:rsidRDefault="00C85726" w:rsidP="00F67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ilgums:</w:t>
            </w:r>
          </w:p>
        </w:tc>
        <w:tc>
          <w:tcPr>
            <w:tcW w:w="6096" w:type="dxa"/>
            <w:vAlign w:val="center"/>
          </w:tcPr>
          <w:p w:rsidR="00C85726" w:rsidRPr="003A57C0" w:rsidRDefault="00C85726" w:rsidP="00F67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 mēneši no 2022. gada 1. aprīļa līdz 2022. gada 30. septembrim</w:t>
            </w:r>
          </w:p>
        </w:tc>
      </w:tr>
      <w:tr w:rsidR="00C85726" w:rsidRPr="00C849DF" w:rsidTr="00F677CE">
        <w:tc>
          <w:tcPr>
            <w:tcW w:w="2830" w:type="dxa"/>
            <w:vAlign w:val="center"/>
          </w:tcPr>
          <w:p w:rsidR="00C85726" w:rsidRPr="003A57C0" w:rsidRDefault="00C85726" w:rsidP="00F67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summa</w:t>
            </w:r>
          </w:p>
        </w:tc>
        <w:tc>
          <w:tcPr>
            <w:tcW w:w="6096" w:type="dxa"/>
            <w:vAlign w:val="center"/>
          </w:tcPr>
          <w:p w:rsidR="00C85726" w:rsidRPr="003A57C0" w:rsidRDefault="00C85726" w:rsidP="00F677CE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 w:rsidRPr="003A57C0">
              <w:rPr>
                <w:bCs/>
                <w:u w:val="single"/>
                <w:lang w:val="lv-LV"/>
              </w:rPr>
              <w:t>Kopējās izmaksas:</w:t>
            </w:r>
            <w:r w:rsidRPr="003A57C0">
              <w:rPr>
                <w:bCs/>
                <w:lang w:val="lv-LV"/>
              </w:rPr>
              <w:t xml:space="preserve"> 4215,64 EUR</w:t>
            </w:r>
          </w:p>
          <w:p w:rsidR="00C85726" w:rsidRPr="003A57C0" w:rsidRDefault="00C85726" w:rsidP="00F677CE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 w:rsidRPr="003A57C0">
              <w:rPr>
                <w:bCs/>
                <w:lang w:val="lv-LV"/>
              </w:rPr>
              <w:t>Valsts Kultūrkapitāla fonda finansējums: 4000,00 EUR (94,88%)</w:t>
            </w:r>
          </w:p>
          <w:p w:rsidR="00C85726" w:rsidRPr="003A57C0" w:rsidRDefault="00C85726" w:rsidP="00F677CE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 w:rsidRPr="003A57C0">
              <w:rPr>
                <w:bCs/>
                <w:lang w:val="lv-LV"/>
              </w:rPr>
              <w:t>Pašvaldības līdzfinansējums: 215,64 EUR (5,12%)</w:t>
            </w:r>
          </w:p>
        </w:tc>
      </w:tr>
      <w:tr w:rsidR="00C85726" w:rsidRPr="00C94551" w:rsidTr="00F677CE">
        <w:tc>
          <w:tcPr>
            <w:tcW w:w="2830" w:type="dxa"/>
            <w:vAlign w:val="center"/>
          </w:tcPr>
          <w:p w:rsidR="00C85726" w:rsidRPr="003A57C0" w:rsidRDefault="00C85726" w:rsidP="00F67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Projekta sasaiste ar Daugavpils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Rīcības plānu</w:t>
            </w:r>
          </w:p>
        </w:tc>
        <w:tc>
          <w:tcPr>
            <w:tcW w:w="6096" w:type="dxa"/>
            <w:vAlign w:val="center"/>
          </w:tcPr>
          <w:p w:rsidR="00C85726" w:rsidRPr="003A57C0" w:rsidRDefault="00C85726" w:rsidP="00F677CE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 w:rsidRPr="003A57C0">
              <w:rPr>
                <w:bCs/>
                <w:lang w:val="lv-LV"/>
              </w:rPr>
              <w:t xml:space="preserve">RV18 Kultūrvēsturiskais mantojums  </w:t>
            </w:r>
          </w:p>
          <w:p w:rsidR="00C85726" w:rsidRPr="003A57C0" w:rsidRDefault="00C85726" w:rsidP="00F677CE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val="lv-LV"/>
              </w:rPr>
            </w:pPr>
            <w:r w:rsidRPr="003A57C0">
              <w:rPr>
                <w:lang w:val="lv-LV"/>
              </w:rPr>
              <w:t>R18.71.3. Daugavpils Cietokšņa infrastruktūras saglabāšana un atjaunošana</w:t>
            </w:r>
          </w:p>
        </w:tc>
      </w:tr>
      <w:tr w:rsidR="00C85726" w:rsidRPr="00C94551" w:rsidTr="00F677CE">
        <w:trPr>
          <w:trHeight w:val="493"/>
        </w:trPr>
        <w:tc>
          <w:tcPr>
            <w:tcW w:w="2830" w:type="dxa"/>
            <w:vAlign w:val="center"/>
          </w:tcPr>
          <w:p w:rsidR="00C85726" w:rsidRPr="003A57C0" w:rsidRDefault="00C85726" w:rsidP="00F67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  <w:r w:rsidRPr="003A5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mērķis</w:t>
            </w:r>
          </w:p>
        </w:tc>
        <w:tc>
          <w:tcPr>
            <w:tcW w:w="6096" w:type="dxa"/>
            <w:vAlign w:val="center"/>
          </w:tcPr>
          <w:p w:rsidR="00C85726" w:rsidRPr="003A57C0" w:rsidRDefault="00C85726" w:rsidP="00F677CE">
            <w:pPr>
              <w:pStyle w:val="BodyText2"/>
              <w:spacing w:line="240" w:lineRule="auto"/>
              <w:jc w:val="left"/>
              <w:rPr>
                <w:sz w:val="24"/>
                <w:szCs w:val="24"/>
                <w:lang w:val="lv-LV"/>
              </w:rPr>
            </w:pPr>
            <w:r w:rsidRPr="003A57C0">
              <w:rPr>
                <w:color w:val="000000"/>
                <w:sz w:val="24"/>
                <w:szCs w:val="24"/>
                <w:lang w:val="lv-LV"/>
              </w:rPr>
              <w:t>Veikta Daugavpils cietokšņa Mihaila vārtu arhitektoniski mākslinieciskā inventarizācija un kultūrvēsturiskā izpēte tādā apjomā un kvalitātē, lai to varētu izmantot par pamatu pieminekļa restaurācijas būvprojekta izstrādei.</w:t>
            </w:r>
          </w:p>
        </w:tc>
      </w:tr>
      <w:tr w:rsidR="00C85726" w:rsidRPr="00C94551" w:rsidTr="00F677CE">
        <w:tc>
          <w:tcPr>
            <w:tcW w:w="2830" w:type="dxa"/>
            <w:vAlign w:val="center"/>
          </w:tcPr>
          <w:p w:rsidR="00C85726" w:rsidRPr="003A57C0" w:rsidRDefault="00C85726" w:rsidP="00F677C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v-LV"/>
              </w:rPr>
            </w:pPr>
            <w:r w:rsidRPr="003A57C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galvenās aktivitātes:</w:t>
            </w:r>
          </w:p>
        </w:tc>
        <w:tc>
          <w:tcPr>
            <w:tcW w:w="6096" w:type="dxa"/>
            <w:vAlign w:val="center"/>
          </w:tcPr>
          <w:p w:rsidR="00C85726" w:rsidRPr="003A57C0" w:rsidRDefault="00C85726" w:rsidP="00C8572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Izstrādāta Daugavpils cietokšņa Mihaila vārtu arhitektoniski mākslinieciskā inventarizācija:</w:t>
            </w:r>
          </w:p>
          <w:p w:rsidR="00C85726" w:rsidRPr="003A57C0" w:rsidRDefault="00C85726" w:rsidP="00C857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62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būves vizuālā apsekošana, vēsturiski vērtīgu </w:t>
            </w:r>
            <w:proofErr w:type="spellStart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būvgaldniecības</w:t>
            </w:r>
            <w:proofErr w:type="spellEnd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apdares detaļu inventarizācija. </w:t>
            </w:r>
            <w:proofErr w:type="spellStart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Kontrolzondāžas</w:t>
            </w:r>
            <w:proofErr w:type="spellEnd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sākotnējā u.c. vēsturisko krāsojuma slāņu noteikšanai, konstatētā krāsojuma fiksācija. Iespējamo izmaiņu konstatācija. Fasāžu notinumi, apdares kartogrammas, shēmas;</w:t>
            </w:r>
          </w:p>
          <w:p w:rsidR="00C85726" w:rsidRPr="003A57C0" w:rsidRDefault="00C85726" w:rsidP="00C857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62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fotofiksācija</w:t>
            </w:r>
            <w:proofErr w:type="spellEnd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anotāciju sagatavošana, </w:t>
            </w:r>
            <w:proofErr w:type="spellStart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fotofiksācijas</w:t>
            </w:r>
            <w:proofErr w:type="spellEnd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plāns;</w:t>
            </w:r>
          </w:p>
          <w:p w:rsidR="00C85726" w:rsidRPr="003A57C0" w:rsidRDefault="00C85726" w:rsidP="00C857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62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inventarizācijas rezultātu apkopošana, slēdziena, rekomendāciju un saglabāšanas koncepcijas sagatavošana;</w:t>
            </w:r>
          </w:p>
          <w:p w:rsidR="00C85726" w:rsidRPr="003A57C0" w:rsidRDefault="00C85726" w:rsidP="00C857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62"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dokumentu sējumu sagatavošana, ierakstīšana </w:t>
            </w:r>
            <w:proofErr w:type="spellStart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datnesī</w:t>
            </w:r>
            <w:proofErr w:type="spellEnd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iesniegšana pasūtītājam un NKMP.</w:t>
            </w:r>
          </w:p>
          <w:p w:rsidR="00C85726" w:rsidRPr="003A57C0" w:rsidRDefault="00C85726" w:rsidP="00C8572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Izstrādāta Daugavpils cietokšņa Mihaila vārtu kultūrvēsturiskā izpēte, apkopojot pieejamos kartogrāfiskos, fotogrāfiskos, mākslinieciskos, literāros un citus vēsturiskos materiālus:</w:t>
            </w:r>
          </w:p>
          <w:p w:rsidR="00C85726" w:rsidRPr="003A57C0" w:rsidRDefault="00C85726" w:rsidP="00C857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62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kultūrvēsturiskās izpētes veikšana (materiālu vākšana arhīvos un muzejos, fotoattēlu skenēšana, apstrāde un interpretēšana, </w:t>
            </w:r>
            <w:proofErr w:type="spellStart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būvvēstures</w:t>
            </w:r>
            <w:proofErr w:type="spellEnd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apkopošana, objekta saglabāšanas un izmantošanas ieteikumi);</w:t>
            </w:r>
          </w:p>
          <w:p w:rsidR="00C85726" w:rsidRPr="003A57C0" w:rsidRDefault="00C85726" w:rsidP="00C857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62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dokumentu sējumu sagatavošana, ierakstīšana </w:t>
            </w:r>
            <w:proofErr w:type="spellStart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datnesī</w:t>
            </w:r>
            <w:proofErr w:type="spellEnd"/>
            <w:r w:rsidRPr="003A57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iesniegšana pasūtītājam un NKMP.</w:t>
            </w:r>
          </w:p>
        </w:tc>
      </w:tr>
      <w:tr w:rsidR="00C85726" w:rsidRPr="007F462B" w:rsidTr="00F677CE">
        <w:trPr>
          <w:trHeight w:val="279"/>
        </w:trPr>
        <w:tc>
          <w:tcPr>
            <w:tcW w:w="2830" w:type="dxa"/>
            <w:vAlign w:val="center"/>
          </w:tcPr>
          <w:p w:rsidR="00C85726" w:rsidRPr="003A57C0" w:rsidRDefault="00C85726" w:rsidP="00F67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īstenošanas vietas:</w:t>
            </w:r>
          </w:p>
        </w:tc>
        <w:tc>
          <w:tcPr>
            <w:tcW w:w="6096" w:type="dxa"/>
            <w:vAlign w:val="center"/>
          </w:tcPr>
          <w:p w:rsidR="00C85726" w:rsidRPr="003A57C0" w:rsidRDefault="00C85726" w:rsidP="00F67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A57C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cietoksnis, Mihaila ielas sākums, Daugavpils, Latvija</w:t>
            </w:r>
          </w:p>
        </w:tc>
      </w:tr>
    </w:tbl>
    <w:p w:rsidR="00C85726" w:rsidRDefault="00C85726" w:rsidP="002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E90" w:rsidRDefault="00642E90" w:rsidP="00642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726" w:rsidRPr="00642E90" w:rsidRDefault="00642E90" w:rsidP="00C94551">
      <w:pPr>
        <w:jc w:val="both"/>
        <w:rPr>
          <w:rFonts w:ascii="Times New Roman" w:hAnsi="Times New Roman" w:cs="Times New Roman"/>
          <w:sz w:val="24"/>
          <w:szCs w:val="24"/>
        </w:rPr>
      </w:pPr>
      <w:r w:rsidRPr="00642E90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642E90">
        <w:rPr>
          <w:rFonts w:ascii="Times New Roman" w:hAnsi="Times New Roman" w:cs="Times New Roman"/>
          <w:sz w:val="24"/>
          <w:szCs w:val="24"/>
        </w:rPr>
        <w:t>priekšsēdētāj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1.vietnieks</w:t>
      </w:r>
      <w:r>
        <w:rPr>
          <w:rFonts w:ascii="Times New Roman" w:hAnsi="Times New Roman" w:cs="Times New Roman"/>
          <w:sz w:val="24"/>
          <w:szCs w:val="24"/>
        </w:rPr>
        <w:tab/>
      </w:r>
      <w:r w:rsidR="00C94551" w:rsidRPr="00C9455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="00C94551" w:rsidRPr="00C94551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="00C94551" w:rsidRPr="00C945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551" w:rsidRPr="00C94551">
        <w:rPr>
          <w:rFonts w:ascii="Times New Roman" w:hAnsi="Times New Roman" w:cs="Times New Roman"/>
          <w:i/>
          <w:sz w:val="24"/>
          <w:szCs w:val="24"/>
        </w:rPr>
        <w:t>paraksts</w:t>
      </w:r>
      <w:proofErr w:type="spellEnd"/>
      <w:r w:rsidR="00C94551" w:rsidRPr="00C9455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A.Vasiļje</w:t>
      </w:r>
      <w:r w:rsidR="00C94551">
        <w:rPr>
          <w:rFonts w:ascii="Times New Roman" w:hAnsi="Times New Roman" w:cs="Times New Roman"/>
          <w:sz w:val="24"/>
          <w:szCs w:val="24"/>
        </w:rPr>
        <w:t>vs</w:t>
      </w:r>
      <w:bookmarkStart w:id="0" w:name="_GoBack"/>
      <w:bookmarkEnd w:id="0"/>
      <w:proofErr w:type="spellEnd"/>
    </w:p>
    <w:sectPr w:rsidR="00C85726" w:rsidRPr="00642E90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146B"/>
    <w:multiLevelType w:val="hybridMultilevel"/>
    <w:tmpl w:val="F7B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FCA"/>
    <w:multiLevelType w:val="multilevel"/>
    <w:tmpl w:val="09A8B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cstheme="minorBidi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cstheme="minorBidi"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cstheme="minorBidi"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cstheme="minorBidi"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cstheme="minorBidi"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cstheme="minorBidi"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cstheme="minorBidi"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cstheme="minorBidi" w:hint="default"/>
        <w:color w:val="auto"/>
        <w:sz w:val="18"/>
      </w:rPr>
    </w:lvl>
  </w:abstractNum>
  <w:abstractNum w:abstractNumId="2" w15:restartNumberingAfterBreak="0">
    <w:nsid w:val="4249282E"/>
    <w:multiLevelType w:val="hybridMultilevel"/>
    <w:tmpl w:val="59EE7858"/>
    <w:lvl w:ilvl="0" w:tplc="201AEC80">
      <w:start w:val="1"/>
      <w:numFmt w:val="lowerLetter"/>
      <w:lvlText w:val="%1)"/>
      <w:lvlJc w:val="left"/>
      <w:pPr>
        <w:ind w:left="138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38D"/>
    <w:multiLevelType w:val="hybridMultilevel"/>
    <w:tmpl w:val="DD7A469A"/>
    <w:lvl w:ilvl="0" w:tplc="04260017">
      <w:start w:val="1"/>
      <w:numFmt w:val="lowerLetter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4C"/>
    <w:rsid w:val="00275B4C"/>
    <w:rsid w:val="002E2723"/>
    <w:rsid w:val="003B1F3C"/>
    <w:rsid w:val="003B315E"/>
    <w:rsid w:val="003D287F"/>
    <w:rsid w:val="00412E88"/>
    <w:rsid w:val="0042734A"/>
    <w:rsid w:val="00642E90"/>
    <w:rsid w:val="007B3DD9"/>
    <w:rsid w:val="00B41042"/>
    <w:rsid w:val="00C31E5B"/>
    <w:rsid w:val="00C85726"/>
    <w:rsid w:val="00C94551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2BD87"/>
  <w15:chartTrackingRefBased/>
  <w15:docId w15:val="{405352D0-7C71-4442-B6E3-97EF979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B4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B4C"/>
    <w:pPr>
      <w:ind w:left="720"/>
      <w:contextualSpacing/>
    </w:pPr>
  </w:style>
  <w:style w:type="paragraph" w:styleId="Footer">
    <w:name w:val="footer"/>
    <w:basedOn w:val="Normal"/>
    <w:link w:val="FooterChar"/>
    <w:rsid w:val="00C857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C857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C85726"/>
    <w:pPr>
      <w:autoSpaceDE w:val="0"/>
      <w:autoSpaceDN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857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9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2383</Words>
  <Characters>1359</Characters>
  <Application>Microsoft Office Word</Application>
  <DocSecurity>0</DocSecurity>
  <Lines>11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8</cp:revision>
  <cp:lastPrinted>2022-03-22T07:45:00Z</cp:lastPrinted>
  <dcterms:created xsi:type="dcterms:W3CDTF">2022-03-11T06:07:00Z</dcterms:created>
  <dcterms:modified xsi:type="dcterms:W3CDTF">2022-03-24T12:54:00Z</dcterms:modified>
</cp:coreProperties>
</file>