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C0" w:rsidRPr="00AB44D8" w:rsidRDefault="001524C0" w:rsidP="001524C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AB44D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Daugavpils domes 20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21.gada 29.novembra saistošo noteikumu Nr.65</w:t>
      </w:r>
      <w:r w:rsidRPr="00AB44D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“</w:t>
      </w:r>
      <w:r>
        <w:rPr>
          <w:rFonts w:ascii="Times New Roman" w:eastAsia="Times New Roman" w:hAnsi="Times New Roman"/>
          <w:b/>
          <w:bCs/>
          <w:sz w:val="24"/>
          <w:szCs w:val="24"/>
        </w:rPr>
        <w:t>Grozījumi</w:t>
      </w:r>
      <w:r w:rsidRPr="00AB44D8">
        <w:rPr>
          <w:rFonts w:ascii="Times New Roman" w:eastAsia="Times New Roman" w:hAnsi="Times New Roman"/>
          <w:b/>
          <w:bCs/>
          <w:sz w:val="24"/>
          <w:szCs w:val="24"/>
        </w:rPr>
        <w:t xml:space="preserve"> Daugavpils domes 2015.gada 30.aprīļa saistošajos noteikumos Nr.23 “</w:t>
      </w:r>
      <w:r w:rsidRPr="00D9055A">
        <w:rPr>
          <w:rFonts w:ascii="Times New Roman" w:eastAsia="Times New Roman" w:hAnsi="Times New Roman"/>
          <w:b/>
          <w:bCs/>
          <w:sz w:val="24"/>
          <w:szCs w:val="24"/>
        </w:rPr>
        <w:t xml:space="preserve">Daugavpils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valsts</w:t>
      </w:r>
      <w:r w:rsidRPr="00D9055A">
        <w:rPr>
          <w:rFonts w:ascii="Times New Roman" w:eastAsia="Times New Roman" w:hAnsi="Times New Roman"/>
          <w:b/>
          <w:bCs/>
          <w:sz w:val="24"/>
          <w:szCs w:val="24"/>
        </w:rPr>
        <w:t>pilsētas</w:t>
      </w:r>
      <w:proofErr w:type="spellEnd"/>
      <w:r w:rsidRPr="00AB44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pašvaldības atbalsts personām ar invaliditāti vides pieejamības nodrošināšana</w:t>
      </w:r>
      <w:r w:rsidRPr="00AB44D8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AB44D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AB44D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paskaidrojuma raksts</w:t>
      </w:r>
    </w:p>
    <w:tbl>
      <w:tblPr>
        <w:tblpPr w:leftFromText="180" w:rightFromText="180" w:vertAnchor="text" w:horzAnchor="margin" w:tblpXSpec="center" w:tblpY="32"/>
        <w:tblW w:w="5048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46"/>
        <w:gridCol w:w="6496"/>
      </w:tblGrid>
      <w:tr w:rsidR="001524C0" w:rsidRPr="00AB44D8" w:rsidTr="00D3564A">
        <w:tc>
          <w:tcPr>
            <w:tcW w:w="1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524C0" w:rsidRPr="00AB44D8" w:rsidRDefault="001524C0" w:rsidP="00D3564A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5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524C0" w:rsidRPr="00AB44D8" w:rsidRDefault="001524C0" w:rsidP="00D3564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1524C0" w:rsidRPr="00AB44D8" w:rsidTr="00D3564A">
        <w:tc>
          <w:tcPr>
            <w:tcW w:w="1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524C0" w:rsidRPr="00AB44D8" w:rsidRDefault="001524C0" w:rsidP="00D3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35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524C0" w:rsidRDefault="001524C0" w:rsidP="00D3564A">
            <w:pPr>
              <w:spacing w:after="0" w:line="240" w:lineRule="auto"/>
              <w:ind w:left="119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36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Atbilstoši likuma "Par pašvaldībām" 43.panta trešajai daļai, dome var pieņemt saistošos noteikumus, lai nodrošinātu pašvaldības autonomo funkciju un brīvprātīgo iniciatīvu izpildi. </w:t>
            </w:r>
          </w:p>
          <w:p w:rsidR="001524C0" w:rsidRDefault="001524C0" w:rsidP="00D3564A">
            <w:pPr>
              <w:spacing w:after="0" w:line="240" w:lineRule="auto"/>
              <w:ind w:left="119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Izvērtējot sniegtā atbalsta apmēru personām ar invaliditāti vides pieejamības nodrošināšanai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tika</w:t>
            </w: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noskaidrots, ka 10.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2. un 10.3.apakšpunktā paredzētais atbalsta apmērs neatbilst </w:t>
            </w: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tirgus cen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ām</w:t>
            </w: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tāpēc </w:t>
            </w: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atbalsta apmēr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 tiek palielināts pēc tirgus izpētes</w:t>
            </w: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1524C0" w:rsidRPr="00B72474" w:rsidRDefault="001524C0" w:rsidP="00D3564A">
            <w:pPr>
              <w:spacing w:after="0" w:line="240" w:lineRule="auto"/>
              <w:ind w:left="119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724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Grozījumi </w:t>
            </w:r>
            <w:hyperlink r:id="rId4" w:tgtFrame="_blank" w:history="1">
              <w:r w:rsidRPr="00B72474">
                <w:rPr>
                  <w:rFonts w:ascii="Times New Roman" w:eastAsia="Times New Roman" w:hAnsi="Times New Roman"/>
                  <w:lang w:eastAsia="lv-LV"/>
                </w:rPr>
                <w:t>Dzīvokļa īpašuma likumā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kas </w:t>
            </w:r>
            <w:r w:rsidRPr="00B724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stājas spēkā ar  </w:t>
            </w:r>
            <w:hyperlink r:id="rId5" w:tgtFrame="_blank" w:history="1">
              <w:r w:rsidRPr="00B72474">
                <w:rPr>
                  <w:rFonts w:ascii="Times New Roman" w:eastAsia="Times New Roman" w:hAnsi="Times New Roman"/>
                  <w:lang w:eastAsia="lv-LV"/>
                </w:rPr>
                <w:t>05.08.2021.</w:t>
              </w:r>
            </w:hyperlink>
            <w:r w:rsidRPr="00B724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11.panta piekt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aj</w:t>
            </w:r>
            <w:r w:rsidRPr="00B724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 daļ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</w:t>
            </w:r>
            <w:r w:rsidRPr="00B724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paredz, ka dzīvokļa īpašniekam, lai nodrošinātu viņam vai viņa ģimenes loceklim mājokļa un vides pieejamību, ievērojot būvniecības prasības, kā arī iepriekš informējot dzīvokļu īpašnieku kopību (dzīvojamās mājas pārvaldnieku), ir tiesības:</w:t>
            </w:r>
          </w:p>
          <w:p w:rsidR="001524C0" w:rsidRPr="00B72474" w:rsidRDefault="001524C0" w:rsidP="00D3564A">
            <w:pPr>
              <w:spacing w:after="0" w:line="240" w:lineRule="auto"/>
              <w:ind w:left="119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724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1) uzstādīt pacēlāju dzīvojamās mājas kāpņu telpā;</w:t>
            </w:r>
          </w:p>
          <w:p w:rsidR="001524C0" w:rsidRPr="00B72474" w:rsidRDefault="001524C0" w:rsidP="00D3564A">
            <w:pPr>
              <w:spacing w:after="0" w:line="240" w:lineRule="auto"/>
              <w:ind w:left="119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724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2) izbūvēt </w:t>
            </w:r>
            <w:proofErr w:type="spellStart"/>
            <w:r w:rsidRPr="00B724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uzbrauktuvi</w:t>
            </w:r>
            <w:proofErr w:type="spellEnd"/>
            <w:r w:rsidRPr="00B724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pie dzīvojamās mājas ieejas vai pie dzīvokļa īpašuma, ja tam ir atsevišķa ieeja;</w:t>
            </w:r>
          </w:p>
          <w:p w:rsidR="001524C0" w:rsidRPr="00AB44D8" w:rsidRDefault="001524C0" w:rsidP="00D3564A">
            <w:pPr>
              <w:spacing w:after="0" w:line="240" w:lineRule="auto"/>
              <w:ind w:left="119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724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3) veikt citāda veida dzīvojamās mājas kopīpašumā esošās daļas pielāgošanu, lai nodrošinātu sava mājokļa un vides pieejamību."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1524C0" w:rsidRPr="00AB44D8" w:rsidTr="00D3564A">
        <w:trPr>
          <w:trHeight w:val="699"/>
        </w:trPr>
        <w:tc>
          <w:tcPr>
            <w:tcW w:w="1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524C0" w:rsidRPr="00C278D3" w:rsidRDefault="001524C0" w:rsidP="00D3564A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78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Īss projekta satura izklāsts</w:t>
            </w:r>
          </w:p>
        </w:tc>
        <w:tc>
          <w:tcPr>
            <w:tcW w:w="35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524C0" w:rsidRPr="00C278D3" w:rsidRDefault="001524C0" w:rsidP="00D3564A">
            <w:pPr>
              <w:tabs>
                <w:tab w:val="left" w:pos="1150"/>
              </w:tabs>
              <w:spacing w:after="0" w:line="240" w:lineRule="auto"/>
              <w:ind w:left="119" w:right="15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78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Noteikumi paredz:</w:t>
            </w:r>
          </w:p>
          <w:p w:rsidR="001524C0" w:rsidRPr="00C278D3" w:rsidRDefault="001524C0" w:rsidP="00D3564A">
            <w:pPr>
              <w:pStyle w:val="ListParagraph"/>
              <w:spacing w:after="0" w:line="240" w:lineRule="auto"/>
              <w:ind w:left="119" w:right="15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78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aizstāt nosaukumā, 4., 10., 28., 30. 35.punktā vārdu „pilsētas” ar vārdu „</w:t>
            </w:r>
            <w:proofErr w:type="spellStart"/>
            <w:r w:rsidRPr="00C278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valstspilsētas</w:t>
            </w:r>
            <w:proofErr w:type="spellEnd"/>
            <w:r w:rsidRPr="00C278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”;</w:t>
            </w:r>
          </w:p>
          <w:p w:rsidR="001524C0" w:rsidRPr="00C278D3" w:rsidRDefault="001524C0" w:rsidP="00D3564A">
            <w:pPr>
              <w:pStyle w:val="ListParagraph"/>
              <w:spacing w:after="0" w:line="240" w:lineRule="auto"/>
              <w:ind w:left="119" w:right="15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78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izdarīt grozījumus 10.2., 10.3., 10.4. un 27.punktā.</w:t>
            </w:r>
          </w:p>
        </w:tc>
      </w:tr>
      <w:tr w:rsidR="001524C0" w:rsidRPr="00AB44D8" w:rsidTr="00D3564A">
        <w:tc>
          <w:tcPr>
            <w:tcW w:w="1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524C0" w:rsidRPr="00C278D3" w:rsidRDefault="001524C0" w:rsidP="00D3564A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78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3.Informācija par plānoto projekta ietekmi uz pašvaldības budžetu</w:t>
            </w:r>
          </w:p>
        </w:tc>
        <w:tc>
          <w:tcPr>
            <w:tcW w:w="35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1524C0" w:rsidRPr="00C278D3" w:rsidRDefault="001524C0" w:rsidP="00D3564A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78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Apstiprinātā budžeta ietvaros.</w:t>
            </w:r>
          </w:p>
        </w:tc>
      </w:tr>
      <w:tr w:rsidR="001524C0" w:rsidRPr="00AB44D8" w:rsidTr="00D3564A">
        <w:tc>
          <w:tcPr>
            <w:tcW w:w="1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524C0" w:rsidRPr="00AB44D8" w:rsidRDefault="001524C0" w:rsidP="00D3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5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524C0" w:rsidRPr="00AB44D8" w:rsidRDefault="001524C0" w:rsidP="00D3564A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Nav attiecināms.</w:t>
            </w:r>
          </w:p>
        </w:tc>
      </w:tr>
      <w:tr w:rsidR="001524C0" w:rsidRPr="00AB44D8" w:rsidTr="00D3564A">
        <w:tc>
          <w:tcPr>
            <w:tcW w:w="1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524C0" w:rsidRPr="00AB44D8" w:rsidRDefault="001524C0" w:rsidP="00D3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5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524C0" w:rsidRPr="00AB44D8" w:rsidRDefault="001524C0" w:rsidP="00D3564A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Atbalstu piešķir Dienests.</w:t>
            </w:r>
          </w:p>
        </w:tc>
      </w:tr>
      <w:tr w:rsidR="001524C0" w:rsidRPr="00AB44D8" w:rsidTr="00D3564A">
        <w:tc>
          <w:tcPr>
            <w:tcW w:w="1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524C0" w:rsidRPr="00AB44D8" w:rsidRDefault="001524C0" w:rsidP="00D35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5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524C0" w:rsidRPr="00AB44D8" w:rsidRDefault="001524C0" w:rsidP="00D3564A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44D8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av n</w:t>
            </w:r>
            <w:r w:rsidRPr="00AB44D8">
              <w:rPr>
                <w:rFonts w:ascii="Times New Roman" w:eastAsia="Times New Roman" w:hAnsi="Times New Roman"/>
                <w:sz w:val="24"/>
                <w:szCs w:val="24"/>
              </w:rPr>
              <w:t>otik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ušas</w:t>
            </w:r>
            <w:r w:rsidRPr="00AB44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1524C0" w:rsidRDefault="001524C0" w:rsidP="001524C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4C0" w:rsidRDefault="001524C0" w:rsidP="001524C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E3C66">
        <w:rPr>
          <w:rFonts w:ascii="Times New Roman" w:hAnsi="Times New Roman"/>
          <w:sz w:val="24"/>
          <w:szCs w:val="24"/>
        </w:rPr>
        <w:t>omes priekšsēdētājs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A.Elksniņš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524C0" w:rsidRDefault="001524C0" w:rsidP="001524C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24C0" w:rsidRDefault="001524C0" w:rsidP="001524C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24C0" w:rsidRDefault="001524C0" w:rsidP="001524C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24C0" w:rsidRDefault="001524C0" w:rsidP="001524C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24C0" w:rsidRDefault="001524C0" w:rsidP="001524C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24C0" w:rsidRDefault="003109DF" w:rsidP="003109DF">
      <w:r>
        <w:rPr>
          <w:i/>
          <w:szCs w:val="20"/>
          <w:lang w:eastAsia="lv-LV"/>
        </w:rPr>
        <w:t>Dokuments ir parakstīts ar drošu elektronisko parakstu un satur laika zīmogu</w:t>
      </w:r>
      <w:r>
        <w:rPr>
          <w:lang w:eastAsia="zh-CN"/>
        </w:rPr>
        <w:t>.</w:t>
      </w:r>
      <w:bookmarkStart w:id="0" w:name="_GoBack"/>
      <w:bookmarkEnd w:id="0"/>
    </w:p>
    <w:sectPr w:rsidR="001524C0" w:rsidSect="00D712E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C0"/>
    <w:rsid w:val="001524C0"/>
    <w:rsid w:val="003109DF"/>
    <w:rsid w:val="003B1F3C"/>
    <w:rsid w:val="003D287F"/>
    <w:rsid w:val="00412E88"/>
    <w:rsid w:val="007B3DD9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32159E-1000-4C00-A04A-81EF0BB5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4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jaunakie/stajas-speka/2021/08/05/" TargetMode="External"/><Relationship Id="rId4" Type="http://schemas.openxmlformats.org/officeDocument/2006/relationships/hyperlink" Target="https://likumi.lv/ta/id/221382-dzivokla-ipasuma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1484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2</cp:revision>
  <dcterms:created xsi:type="dcterms:W3CDTF">2021-11-23T07:26:00Z</dcterms:created>
  <dcterms:modified xsi:type="dcterms:W3CDTF">2021-11-30T09:30:00Z</dcterms:modified>
</cp:coreProperties>
</file>