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BFB" w:rsidRPr="00B84BFB" w:rsidRDefault="00B84BFB" w:rsidP="00B84BFB">
      <w:pPr>
        <w:spacing w:line="240" w:lineRule="auto"/>
        <w:jc w:val="center"/>
        <w:rPr>
          <w:rFonts w:eastAsia="Times New Roman" w:cs="Times New Roman"/>
          <w:b/>
          <w:bCs/>
          <w:szCs w:val="24"/>
          <w:lang w:eastAsia="en-GB"/>
        </w:rPr>
      </w:pPr>
      <w:r w:rsidRPr="00B84BFB">
        <w:rPr>
          <w:rFonts w:eastAsia="Times New Roman" w:cs="Times New Roman"/>
          <w:b/>
          <w:bCs/>
          <w:szCs w:val="24"/>
          <w:lang w:eastAsia="en-GB"/>
        </w:rPr>
        <w:t>Daugavpils pilsē</w:t>
      </w:r>
      <w:r w:rsidR="00ED3285">
        <w:rPr>
          <w:rFonts w:eastAsia="Times New Roman" w:cs="Times New Roman"/>
          <w:b/>
          <w:bCs/>
          <w:szCs w:val="24"/>
          <w:lang w:eastAsia="en-GB"/>
        </w:rPr>
        <w:t>tas domes 2021.gada 12.augusta saistošo noteikumu Nr.45</w:t>
      </w:r>
      <w:r w:rsidRPr="00B84BFB">
        <w:rPr>
          <w:rFonts w:eastAsia="Times New Roman" w:cs="Times New Roman"/>
          <w:b/>
          <w:bCs/>
          <w:szCs w:val="24"/>
          <w:lang w:eastAsia="en-GB"/>
        </w:rPr>
        <w:t xml:space="preserve"> </w:t>
      </w:r>
    </w:p>
    <w:p w:rsidR="00B84BFB" w:rsidRPr="00B84BFB" w:rsidRDefault="00B84BFB" w:rsidP="00B84BFB">
      <w:pPr>
        <w:spacing w:line="240" w:lineRule="auto"/>
        <w:jc w:val="center"/>
        <w:rPr>
          <w:rFonts w:eastAsia="Times New Roman" w:cs="Times New Roman"/>
          <w:b/>
          <w:bCs/>
          <w:szCs w:val="24"/>
          <w:lang w:eastAsia="en-GB"/>
        </w:rPr>
      </w:pPr>
      <w:r w:rsidRPr="00B84BFB">
        <w:rPr>
          <w:rFonts w:eastAsia="Times New Roman" w:cs="Times New Roman"/>
          <w:b/>
          <w:bCs/>
          <w:szCs w:val="24"/>
          <w:lang w:eastAsia="en-GB"/>
        </w:rPr>
        <w:t>“Pabalsts</w:t>
      </w:r>
      <w:r w:rsidRPr="00B84BFB">
        <w:rPr>
          <w:rFonts w:eastAsia="Times New Roman" w:cs="Times New Roman"/>
          <w:b/>
          <w:szCs w:val="24"/>
        </w:rPr>
        <w:t xml:space="preserve"> krīzes situācijā sakarā ar Covid-19 infekcijas izplatību</w:t>
      </w:r>
      <w:r w:rsidRPr="00B84BFB">
        <w:rPr>
          <w:rFonts w:eastAsia="Times New Roman" w:cs="Times New Roman"/>
          <w:b/>
          <w:bCs/>
          <w:szCs w:val="24"/>
          <w:lang w:eastAsia="en-GB"/>
        </w:rPr>
        <w:t>”</w:t>
      </w:r>
    </w:p>
    <w:p w:rsidR="00B84BFB" w:rsidRPr="00B84BFB" w:rsidRDefault="00B84BFB" w:rsidP="00B84BFB">
      <w:pPr>
        <w:spacing w:line="240" w:lineRule="auto"/>
        <w:jc w:val="center"/>
        <w:rPr>
          <w:rFonts w:eastAsia="Times New Roman" w:cs="Times New Roman"/>
          <w:b/>
          <w:bCs/>
          <w:szCs w:val="24"/>
          <w:lang w:eastAsia="en-GB"/>
        </w:rPr>
      </w:pPr>
      <w:r w:rsidRPr="00B84BFB">
        <w:rPr>
          <w:rFonts w:eastAsia="Times New Roman" w:cs="Times New Roman"/>
          <w:b/>
          <w:bCs/>
          <w:szCs w:val="24"/>
          <w:lang w:eastAsia="en-GB"/>
        </w:rPr>
        <w:t xml:space="preserve"> paskaidrojuma raksts</w:t>
      </w:r>
    </w:p>
    <w:p w:rsidR="00B84BFB" w:rsidRPr="00B84BFB" w:rsidRDefault="00B84BFB" w:rsidP="00B84BFB">
      <w:pPr>
        <w:spacing w:line="240" w:lineRule="auto"/>
        <w:jc w:val="center"/>
        <w:rPr>
          <w:rFonts w:eastAsia="Times New Roman" w:cs="Times New Roman"/>
          <w:b/>
          <w:bCs/>
          <w:szCs w:val="24"/>
          <w:lang w:eastAsia="en-GB"/>
        </w:rPr>
      </w:pPr>
    </w:p>
    <w:tbl>
      <w:tblPr>
        <w:tblW w:w="4944"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67"/>
        <w:gridCol w:w="5987"/>
      </w:tblGrid>
      <w:tr w:rsidR="00B84BFB" w:rsidRPr="00B84BFB" w:rsidTr="00B84BFB">
        <w:tc>
          <w:tcPr>
            <w:tcW w:w="1657" w:type="pct"/>
            <w:tcBorders>
              <w:top w:val="outset" w:sz="6" w:space="0" w:color="414142"/>
              <w:left w:val="outset" w:sz="6" w:space="0" w:color="414142"/>
              <w:bottom w:val="outset" w:sz="6" w:space="0" w:color="414142"/>
              <w:right w:val="outset" w:sz="6" w:space="0" w:color="414142"/>
            </w:tcBorders>
            <w:vAlign w:val="center"/>
            <w:hideMark/>
          </w:tcPr>
          <w:p w:rsidR="00B84BFB" w:rsidRPr="00B84BFB" w:rsidRDefault="00B84BFB" w:rsidP="00B84BFB">
            <w:pPr>
              <w:spacing w:line="240" w:lineRule="auto"/>
              <w:jc w:val="center"/>
              <w:rPr>
                <w:rFonts w:eastAsia="Times New Roman" w:cs="Times New Roman"/>
                <w:szCs w:val="24"/>
                <w:lang w:eastAsia="en-GB"/>
              </w:rPr>
            </w:pPr>
            <w:r w:rsidRPr="00B84BFB">
              <w:rPr>
                <w:rFonts w:eastAsia="Times New Roman" w:cs="Times New Roman"/>
                <w:szCs w:val="24"/>
                <w:lang w:eastAsia="en-GB"/>
              </w:rPr>
              <w:t>Paskaidrojuma raksta sadaļas</w:t>
            </w:r>
          </w:p>
        </w:tc>
        <w:tc>
          <w:tcPr>
            <w:tcW w:w="3343" w:type="pct"/>
            <w:tcBorders>
              <w:top w:val="outset" w:sz="6" w:space="0" w:color="414142"/>
              <w:left w:val="outset" w:sz="6" w:space="0" w:color="414142"/>
              <w:bottom w:val="outset" w:sz="6" w:space="0" w:color="414142"/>
              <w:right w:val="outset" w:sz="6" w:space="0" w:color="414142"/>
            </w:tcBorders>
            <w:vAlign w:val="center"/>
            <w:hideMark/>
          </w:tcPr>
          <w:p w:rsidR="00B84BFB" w:rsidRPr="00B84BFB" w:rsidRDefault="00B84BFB" w:rsidP="00B84BFB">
            <w:pPr>
              <w:spacing w:line="240" w:lineRule="auto"/>
              <w:jc w:val="center"/>
              <w:rPr>
                <w:rFonts w:eastAsia="Times New Roman" w:cs="Times New Roman"/>
                <w:szCs w:val="24"/>
                <w:lang w:eastAsia="en-GB"/>
              </w:rPr>
            </w:pPr>
            <w:r w:rsidRPr="00B84BFB">
              <w:rPr>
                <w:rFonts w:eastAsia="Times New Roman" w:cs="Times New Roman"/>
                <w:szCs w:val="24"/>
                <w:lang w:eastAsia="en-GB"/>
              </w:rPr>
              <w:t>Norādāmā informācija</w:t>
            </w:r>
          </w:p>
        </w:tc>
      </w:tr>
      <w:tr w:rsidR="00B84BFB" w:rsidRPr="00B84BFB" w:rsidTr="00B84BFB">
        <w:tc>
          <w:tcPr>
            <w:tcW w:w="1657"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rPr>
                <w:rFonts w:eastAsia="Times New Roman" w:cs="Times New Roman"/>
                <w:szCs w:val="24"/>
                <w:lang w:eastAsia="en-GB"/>
              </w:rPr>
            </w:pPr>
            <w:r w:rsidRPr="00B84BFB">
              <w:rPr>
                <w:rFonts w:eastAsia="Times New Roman" w:cs="Times New Roman"/>
                <w:szCs w:val="24"/>
                <w:lang w:eastAsia="en-GB"/>
              </w:rPr>
              <w:t>1. Projekta nepieciešamības pamatojums</w:t>
            </w:r>
          </w:p>
        </w:tc>
        <w:tc>
          <w:tcPr>
            <w:tcW w:w="3343"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tabs>
                <w:tab w:val="left" w:pos="6379"/>
              </w:tabs>
              <w:spacing w:line="254" w:lineRule="auto"/>
              <w:ind w:left="110" w:right="160"/>
              <w:jc w:val="both"/>
              <w:rPr>
                <w:rFonts w:eastAsia="Times New Roman" w:cs="Times New Roman"/>
                <w:color w:val="000000"/>
                <w:szCs w:val="24"/>
                <w:lang w:eastAsia="lv-LV"/>
              </w:rPr>
            </w:pPr>
            <w:r w:rsidRPr="00B84BFB">
              <w:rPr>
                <w:rFonts w:eastAsia="Times New Roman" w:cs="Times New Roman"/>
                <w:color w:val="000000"/>
                <w:szCs w:val="24"/>
                <w:lang w:eastAsia="lv-LV"/>
              </w:rPr>
              <w:t>Saeima izdarīja grozījumus </w:t>
            </w:r>
            <w:hyperlink r:id="rId4" w:tgtFrame="_blank" w:history="1">
              <w:r w:rsidRPr="00B84BFB">
                <w:rPr>
                  <w:rFonts w:eastAsia="Times New Roman" w:cs="Times New Roman"/>
                  <w:color w:val="000000"/>
                  <w:szCs w:val="24"/>
                  <w:lang w:eastAsia="lv-LV"/>
                </w:rPr>
                <w:t>Sociālo pakalpojumu un sociālās palīdzības likumā</w:t>
              </w:r>
            </w:hyperlink>
            <w:r w:rsidRPr="00B84BFB">
              <w:rPr>
                <w:rFonts w:eastAsia="Times New Roman" w:cs="Times New Roman"/>
                <w:color w:val="000000"/>
                <w:szCs w:val="24"/>
                <w:lang w:eastAsia="lv-LV"/>
              </w:rPr>
              <w:t>, papildinot ar pārejas noteikumu 37.</w:t>
            </w:r>
            <w:r w:rsidRPr="00B84BFB">
              <w:rPr>
                <w:rFonts w:eastAsia="Times New Roman" w:cs="Times New Roman"/>
                <w:color w:val="000000"/>
                <w:szCs w:val="24"/>
                <w:vertAlign w:val="superscript"/>
                <w:lang w:eastAsia="lv-LV"/>
              </w:rPr>
              <w:t>2</w:t>
            </w:r>
            <w:r w:rsidRPr="00B84BFB">
              <w:rPr>
                <w:rFonts w:eastAsia="Times New Roman" w:cs="Times New Roman"/>
                <w:color w:val="000000"/>
                <w:szCs w:val="24"/>
                <w:lang w:eastAsia="lv-LV"/>
              </w:rPr>
              <w:t>punktu, kas paredz laikposmā no 01.07.2021. līdz 31.12.2021. piemērot likuma pārejas noteikumu 37.</w:t>
            </w:r>
            <w:r w:rsidRPr="00B84BFB">
              <w:rPr>
                <w:rFonts w:eastAsia="Times New Roman" w:cs="Times New Roman"/>
                <w:color w:val="000000"/>
                <w:szCs w:val="24"/>
                <w:vertAlign w:val="superscript"/>
                <w:lang w:eastAsia="lv-LV"/>
              </w:rPr>
              <w:t>1</w:t>
            </w:r>
            <w:r w:rsidRPr="00B84BFB">
              <w:rPr>
                <w:rFonts w:eastAsia="Times New Roman" w:cs="Times New Roman"/>
                <w:color w:val="000000"/>
                <w:szCs w:val="24"/>
                <w:lang w:eastAsia="lv-LV"/>
              </w:rPr>
              <w:t> punkta 1., 2. un 4.apakšpunktā noteiktā pabalsta krīzes situācijā izmaksu. Pabalsta krīzes situācijā apmēru pašvaldības nosaka saistošajos noteikumos. Grozījumi stājās spēkā 10.08.2021. Lai daļēji kompensētu pašvaldību izdevumus pabalsta krīzes situācijā izmaksai, valsts nodrošinās pašvaldībām mērķdotāciju izdevumu segšanai 50 % apmērā no laikposmā no 01.07.2021.  līdz 31.12.2021. izmaksātā pabalsta apmēra, bet ne vairāk kā 75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color w:val="000000"/>
                <w:szCs w:val="24"/>
                <w:lang w:eastAsia="lv-LV"/>
              </w:rPr>
              <w:t xml:space="preserve"> vienai personai mēnesī. Lai kompensētu pašvaldībām izdevumus par izmaksātā pabalsta apmēra palielināšanu par 50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color w:val="000000"/>
                <w:szCs w:val="24"/>
                <w:lang w:eastAsia="lv-LV"/>
              </w:rPr>
              <w:t xml:space="preserve"> mēnesī par katru aprūpē esošu bērnu līdz 18 gadu vecumam, valsts nodrošinās pašvaldībām mērķdotāciju izdevumu segšanai 100 % apmērā no izmaksātā pabalsta palielinājuma - 50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color w:val="000000"/>
                <w:szCs w:val="24"/>
                <w:lang w:eastAsia="lv-LV"/>
              </w:rPr>
              <w:t xml:space="preserve"> mēnesī par katru bērnu līdz 18 gadu vecumam. </w:t>
            </w:r>
          </w:p>
          <w:p w:rsidR="00B84BFB" w:rsidRPr="00B84BFB" w:rsidRDefault="00B84BFB" w:rsidP="00B84BFB">
            <w:pPr>
              <w:tabs>
                <w:tab w:val="left" w:pos="6379"/>
              </w:tabs>
              <w:spacing w:line="254" w:lineRule="auto"/>
              <w:ind w:left="110" w:right="160"/>
              <w:jc w:val="both"/>
              <w:rPr>
                <w:rFonts w:eastAsia="Times New Roman" w:cs="Times New Roman"/>
                <w:szCs w:val="24"/>
                <w:lang w:eastAsia="lv-LV"/>
              </w:rPr>
            </w:pPr>
            <w:r w:rsidRPr="00B84BFB">
              <w:rPr>
                <w:rFonts w:eastAsia="Times New Roman" w:cs="Times New Roman"/>
                <w:color w:val="000000"/>
                <w:szCs w:val="24"/>
                <w:lang w:eastAsia="lv-LV"/>
              </w:rPr>
              <w:t xml:space="preserve">Noteikumi paredz pabalsta krīzes situācijā </w:t>
            </w:r>
            <w:r w:rsidRPr="00B84BFB">
              <w:rPr>
                <w:rFonts w:eastAsia="Times New Roman" w:cs="Times New Roman"/>
                <w:szCs w:val="24"/>
                <w:lang w:eastAsia="lv-LV"/>
              </w:rPr>
              <w:t>sakarā ar Covid-19 infekcijas izplatību izmaksu laikā no 01.07.2021. līdz 31.12.2021., tā apmēru, saņemšanas kārtību un personu loku, kurām ir tiesības to saņemt un p</w:t>
            </w:r>
            <w:r w:rsidRPr="00B84BFB">
              <w:rPr>
                <w:rFonts w:eastAsia="Times New Roman" w:cs="Times New Roman"/>
                <w:color w:val="000000"/>
                <w:szCs w:val="24"/>
                <w:lang w:eastAsia="lv-LV"/>
              </w:rPr>
              <w:t>ārejas noteikums paredz atzīt par spēku zaudējušiem Daugavpils pilsētas domes 2020.gada 19.novembra saistošos noteikumus Nr.44 “Atbalsts krīzes situācijā sakarā ar Covid-19 izplatību”.</w:t>
            </w:r>
          </w:p>
          <w:p w:rsidR="00B84BFB" w:rsidRPr="00B84BFB" w:rsidRDefault="00B84BFB" w:rsidP="00B84BFB">
            <w:pPr>
              <w:tabs>
                <w:tab w:val="left" w:pos="6379"/>
              </w:tabs>
              <w:spacing w:line="254" w:lineRule="auto"/>
              <w:ind w:left="110" w:right="160"/>
              <w:jc w:val="both"/>
              <w:rPr>
                <w:rFonts w:eastAsia="Times New Roman" w:cs="Times New Roman"/>
                <w:color w:val="000000"/>
                <w:szCs w:val="24"/>
                <w:lang w:eastAsia="lv-LV"/>
              </w:rPr>
            </w:pPr>
            <w:r w:rsidRPr="00B84BFB">
              <w:rPr>
                <w:rFonts w:eastAsia="Times New Roman" w:cs="Times New Roman"/>
                <w:color w:val="000000"/>
                <w:szCs w:val="24"/>
                <w:lang w:eastAsia="lv-LV"/>
              </w:rPr>
              <w:t xml:space="preserve">Covid-19 infekcijas izplatības pārvaldības likuma 24.panta otrā daļa paredz to, ka pašvaldības saistošie noteikumi saistībā ar Covid-19 infekcijas izplatību stājas spēkā nākamajā dienā pēc to izsludināšanas, ja tajos nav noteikts cits spēkā stāšanās termiņš. </w:t>
            </w:r>
          </w:p>
        </w:tc>
      </w:tr>
      <w:tr w:rsidR="00B84BFB" w:rsidRPr="00B84BFB" w:rsidTr="00B84BFB">
        <w:tc>
          <w:tcPr>
            <w:tcW w:w="1657"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ind w:right="198"/>
              <w:jc w:val="both"/>
              <w:rPr>
                <w:rFonts w:eastAsia="Calibri" w:cs="Times New Roman"/>
                <w:szCs w:val="24"/>
              </w:rPr>
            </w:pPr>
            <w:r w:rsidRPr="00B84BFB">
              <w:rPr>
                <w:rFonts w:eastAsia="Calibri" w:cs="Times New Roman"/>
                <w:szCs w:val="24"/>
              </w:rPr>
              <w:t>2. Īss projekta satura izklāsts</w:t>
            </w:r>
          </w:p>
        </w:tc>
        <w:tc>
          <w:tcPr>
            <w:tcW w:w="3343"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ind w:left="110" w:right="198"/>
              <w:jc w:val="both"/>
              <w:rPr>
                <w:rFonts w:eastAsia="Times New Roman" w:cs="Times New Roman"/>
                <w:szCs w:val="24"/>
                <w:lang w:eastAsia="lv-LV"/>
              </w:rPr>
            </w:pPr>
            <w:r w:rsidRPr="00B84BFB">
              <w:rPr>
                <w:rFonts w:eastAsia="Calibri" w:cs="Times New Roman"/>
                <w:szCs w:val="24"/>
              </w:rPr>
              <w:t xml:space="preserve">Noteikumi paredz </w:t>
            </w:r>
            <w:r w:rsidRPr="00B84BFB">
              <w:rPr>
                <w:rFonts w:eastAsia="Times New Roman" w:cs="Times New Roman"/>
                <w:szCs w:val="24"/>
                <w:lang w:eastAsia="lv-LV"/>
              </w:rPr>
              <w:t>pabalsta apmēru, saņemšanas kārtību un personu loku, kurām ir tiesības to saņemt.</w:t>
            </w:r>
          </w:p>
        </w:tc>
      </w:tr>
      <w:tr w:rsidR="00B84BFB" w:rsidRPr="00B84BFB" w:rsidTr="00B84BFB">
        <w:tc>
          <w:tcPr>
            <w:tcW w:w="1657"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rPr>
                <w:rFonts w:eastAsia="Times New Roman" w:cs="Times New Roman"/>
                <w:szCs w:val="24"/>
                <w:lang w:eastAsia="en-GB"/>
              </w:rPr>
            </w:pPr>
            <w:r w:rsidRPr="00B84BFB">
              <w:rPr>
                <w:rFonts w:eastAsia="Times New Roman" w:cs="Times New Roman"/>
                <w:szCs w:val="24"/>
                <w:lang w:eastAsia="en-GB"/>
              </w:rPr>
              <w:t>3. Informācija par plānoto projekta ietekmi uz pašvaldības budžetu</w:t>
            </w:r>
          </w:p>
        </w:tc>
        <w:tc>
          <w:tcPr>
            <w:tcW w:w="3343"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ind w:left="110" w:right="98"/>
              <w:jc w:val="both"/>
              <w:rPr>
                <w:rFonts w:eastAsia="Times New Roman" w:cs="Times New Roman"/>
                <w:szCs w:val="24"/>
                <w:lang w:eastAsia="lv-LV"/>
              </w:rPr>
            </w:pPr>
            <w:r w:rsidRPr="00B84BFB">
              <w:rPr>
                <w:rFonts w:eastAsia="Times New Roman" w:cs="Times New Roman"/>
                <w:szCs w:val="24"/>
                <w:lang w:eastAsia="lv-LV"/>
              </w:rPr>
              <w:t xml:space="preserve">Pabalstu krīzes situācijā sakarā ar Covid-19 infekcijas izplatību laikā no 01.01.2021. līdz 30.06.2021. saņēma 81 persona, līdz ar to secināms ka pabalsta saņēmēju skaits pagaidām nav bijis liels. Kopš 01.01.2021. pabalstā izmaksāti 12150 </w:t>
            </w:r>
            <w:proofErr w:type="spellStart"/>
            <w:r w:rsidRPr="00B84BFB">
              <w:rPr>
                <w:rFonts w:eastAsia="Times New Roman" w:cs="Times New Roman"/>
                <w:i/>
                <w:szCs w:val="24"/>
                <w:lang w:eastAsia="lv-LV"/>
              </w:rPr>
              <w:t>euro</w:t>
            </w:r>
            <w:proofErr w:type="spellEnd"/>
            <w:r w:rsidRPr="00B84BFB">
              <w:rPr>
                <w:rFonts w:eastAsia="Times New Roman" w:cs="Times New Roman"/>
                <w:i/>
                <w:szCs w:val="24"/>
                <w:lang w:eastAsia="lv-LV"/>
              </w:rPr>
              <w:t xml:space="preserve">, </w:t>
            </w:r>
            <w:r w:rsidRPr="00B84BFB">
              <w:rPr>
                <w:rFonts w:eastAsia="Times New Roman" w:cs="Times New Roman"/>
                <w:color w:val="000000"/>
                <w:szCs w:val="24"/>
                <w:lang w:eastAsia="lv-LV"/>
              </w:rPr>
              <w:t xml:space="preserve">valsts nodrošināja mērķdotāciju izdevumu segšanai 50 % apmērā - 6075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szCs w:val="24"/>
                <w:lang w:eastAsia="lv-LV"/>
              </w:rPr>
              <w:t xml:space="preserve">. </w:t>
            </w:r>
            <w:r w:rsidRPr="00B84BFB">
              <w:rPr>
                <w:rFonts w:eastAsia="Times New Roman" w:cs="Times New Roman"/>
                <w:color w:val="000000"/>
                <w:szCs w:val="24"/>
                <w:lang w:eastAsia="lv-LV"/>
              </w:rPr>
              <w:t>Pabalsta apmēra palielinājums par 50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color w:val="000000"/>
                <w:szCs w:val="24"/>
                <w:lang w:eastAsia="lv-LV"/>
              </w:rPr>
              <w:t xml:space="preserve"> mēnesī par katru aprūpē esošu bērnu līdz 18 gadu vecumam tika izmaksāts 54 personām 2700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i/>
                <w:color w:val="000000"/>
                <w:szCs w:val="24"/>
                <w:lang w:eastAsia="lv-LV"/>
              </w:rPr>
              <w:t xml:space="preserve">, </w:t>
            </w:r>
            <w:r w:rsidRPr="00B84BFB">
              <w:rPr>
                <w:rFonts w:eastAsia="Times New Roman" w:cs="Times New Roman"/>
                <w:color w:val="000000"/>
                <w:szCs w:val="24"/>
                <w:lang w:eastAsia="lv-LV"/>
              </w:rPr>
              <w:t xml:space="preserve">valsts nodrošināja mērķdotāciju izdevumu segšanai 100 % apmērā - 2700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color w:val="000000"/>
                <w:szCs w:val="24"/>
                <w:lang w:eastAsia="lv-LV"/>
              </w:rPr>
              <w:t>.</w:t>
            </w:r>
          </w:p>
          <w:p w:rsidR="00B84BFB" w:rsidRPr="00B84BFB" w:rsidRDefault="00B84BFB" w:rsidP="00B84BFB">
            <w:pPr>
              <w:spacing w:line="240" w:lineRule="auto"/>
              <w:ind w:left="110" w:right="98"/>
              <w:jc w:val="both"/>
              <w:rPr>
                <w:rFonts w:eastAsia="Times New Roman" w:cs="Times New Roman"/>
                <w:szCs w:val="24"/>
                <w:lang w:eastAsia="en-GB"/>
              </w:rPr>
            </w:pPr>
            <w:r w:rsidRPr="00B84BFB">
              <w:rPr>
                <w:rFonts w:eastAsia="Times New Roman" w:cs="Times New Roman"/>
                <w:szCs w:val="24"/>
                <w:lang w:eastAsia="lv-LV"/>
              </w:rPr>
              <w:t xml:space="preserve">Palielinoties Covid-19 infekcijas izplatībai, iespējams, šī pabalsta saņēmēju skaits pieaugs. Pabalsta izmaksa </w:t>
            </w:r>
            <w:r w:rsidRPr="00B84BFB">
              <w:rPr>
                <w:rFonts w:eastAsia="Times New Roman" w:cs="Times New Roman"/>
                <w:iCs/>
                <w:szCs w:val="24"/>
                <w:lang w:eastAsia="lv-LV"/>
              </w:rPr>
              <w:t xml:space="preserve">tiks </w:t>
            </w:r>
            <w:r w:rsidRPr="00B84BFB">
              <w:rPr>
                <w:rFonts w:eastAsia="Times New Roman" w:cs="Times New Roman"/>
                <w:iCs/>
                <w:szCs w:val="24"/>
                <w:lang w:eastAsia="lv-LV"/>
              </w:rPr>
              <w:lastRenderedPageBreak/>
              <w:t>īstenota esošo institūciju un cilvēkresursu ietvaros</w:t>
            </w:r>
            <w:r w:rsidRPr="00B84BFB">
              <w:rPr>
                <w:rFonts w:eastAsia="Times New Roman" w:cs="Times New Roman"/>
                <w:szCs w:val="24"/>
                <w:lang w:eastAsia="lv-LV"/>
              </w:rPr>
              <w:t xml:space="preserve">. Sociālajam dienestam papildus būs nepieciešami aptuveni </w:t>
            </w:r>
            <w:r w:rsidRPr="00B84BFB">
              <w:rPr>
                <w:rFonts w:eastAsia="Times New Roman" w:cs="Times New Roman"/>
                <w:color w:val="000000"/>
                <w:szCs w:val="24"/>
                <w:lang w:eastAsia="lv-LV"/>
              </w:rPr>
              <w:t xml:space="preserve">6075 </w:t>
            </w:r>
            <w:proofErr w:type="spellStart"/>
            <w:r w:rsidRPr="00B84BFB">
              <w:rPr>
                <w:rFonts w:eastAsia="Times New Roman" w:cs="Times New Roman"/>
                <w:i/>
                <w:color w:val="000000"/>
                <w:szCs w:val="24"/>
                <w:lang w:eastAsia="lv-LV"/>
              </w:rPr>
              <w:t>euro</w:t>
            </w:r>
            <w:proofErr w:type="spellEnd"/>
            <w:r w:rsidRPr="00B84BFB">
              <w:rPr>
                <w:rFonts w:eastAsia="Times New Roman" w:cs="Times New Roman"/>
                <w:szCs w:val="24"/>
                <w:lang w:eastAsia="lv-LV"/>
              </w:rPr>
              <w:t>.</w:t>
            </w:r>
            <w:r w:rsidRPr="00B84BFB">
              <w:rPr>
                <w:rFonts w:eastAsia="Times New Roman" w:cs="Times New Roman"/>
                <w:b/>
                <w:color w:val="C00000"/>
                <w:szCs w:val="24"/>
                <w:u w:val="single"/>
                <w:lang w:eastAsia="en-GB"/>
              </w:rPr>
              <w:t xml:space="preserve"> </w:t>
            </w:r>
          </w:p>
        </w:tc>
      </w:tr>
      <w:tr w:rsidR="00B84BFB" w:rsidRPr="00B84BFB" w:rsidTr="00B84BFB">
        <w:tc>
          <w:tcPr>
            <w:tcW w:w="1657"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rPr>
                <w:rFonts w:eastAsia="Times New Roman" w:cs="Times New Roman"/>
                <w:szCs w:val="24"/>
                <w:lang w:eastAsia="en-GB"/>
              </w:rPr>
            </w:pPr>
            <w:r w:rsidRPr="00B84BFB">
              <w:rPr>
                <w:rFonts w:eastAsia="Times New Roman" w:cs="Times New Roman"/>
                <w:szCs w:val="24"/>
                <w:lang w:eastAsia="en-GB"/>
              </w:rPr>
              <w:lastRenderedPageBreak/>
              <w:t>4. Informācija par plānoto projekta ietekmi uz uzņēmējdarbības vidi pašvaldības teritorijā</w:t>
            </w:r>
          </w:p>
        </w:tc>
        <w:tc>
          <w:tcPr>
            <w:tcW w:w="3343"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ind w:left="110"/>
              <w:rPr>
                <w:rFonts w:eastAsia="Times New Roman" w:cs="Times New Roman"/>
                <w:szCs w:val="24"/>
                <w:lang w:eastAsia="en-GB"/>
              </w:rPr>
            </w:pPr>
            <w:r w:rsidRPr="00B84BFB">
              <w:rPr>
                <w:rFonts w:eastAsia="Times New Roman" w:cs="Times New Roman"/>
                <w:szCs w:val="24"/>
                <w:lang w:eastAsia="en-GB"/>
              </w:rPr>
              <w:t xml:space="preserve"> Nav attiecināms.</w:t>
            </w:r>
          </w:p>
        </w:tc>
      </w:tr>
      <w:tr w:rsidR="00B84BFB" w:rsidRPr="00B84BFB" w:rsidTr="00B84BFB">
        <w:tc>
          <w:tcPr>
            <w:tcW w:w="1657"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rPr>
                <w:rFonts w:eastAsia="Times New Roman" w:cs="Times New Roman"/>
                <w:szCs w:val="24"/>
                <w:lang w:eastAsia="en-GB"/>
              </w:rPr>
            </w:pPr>
            <w:r w:rsidRPr="00B84BFB">
              <w:rPr>
                <w:rFonts w:eastAsia="Times New Roman" w:cs="Times New Roman"/>
                <w:szCs w:val="24"/>
                <w:lang w:eastAsia="en-GB"/>
              </w:rPr>
              <w:t>5. Informācija par administratīvajām procedūrām</w:t>
            </w:r>
          </w:p>
        </w:tc>
        <w:tc>
          <w:tcPr>
            <w:tcW w:w="3343"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ind w:left="110"/>
              <w:rPr>
                <w:rFonts w:eastAsia="Calibri" w:cs="Times New Roman"/>
                <w:szCs w:val="24"/>
                <w:lang w:eastAsia="en-GB"/>
              </w:rPr>
            </w:pPr>
            <w:r w:rsidRPr="00B84BFB">
              <w:rPr>
                <w:rFonts w:eastAsia="Times New Roman" w:cs="Times New Roman"/>
                <w:szCs w:val="24"/>
                <w:lang w:eastAsia="lv-LV"/>
              </w:rPr>
              <w:t>Pabalstu administrēs</w:t>
            </w:r>
            <w:r w:rsidRPr="00B84BFB">
              <w:rPr>
                <w:rFonts w:eastAsia="Calibri" w:cs="Times New Roman"/>
                <w:szCs w:val="24"/>
                <w:lang w:eastAsia="en-GB"/>
              </w:rPr>
              <w:t xml:space="preserve"> Sociālais dienests. </w:t>
            </w:r>
          </w:p>
          <w:p w:rsidR="00B84BFB" w:rsidRPr="00B84BFB" w:rsidRDefault="00B84BFB" w:rsidP="00B84BFB">
            <w:pPr>
              <w:spacing w:line="240" w:lineRule="auto"/>
              <w:ind w:left="110"/>
              <w:rPr>
                <w:rFonts w:eastAsia="Times New Roman" w:cs="Times New Roman"/>
                <w:szCs w:val="24"/>
                <w:lang w:eastAsia="en-GB"/>
              </w:rPr>
            </w:pPr>
          </w:p>
        </w:tc>
      </w:tr>
      <w:tr w:rsidR="00B84BFB" w:rsidRPr="00B84BFB" w:rsidTr="00B84BFB">
        <w:tc>
          <w:tcPr>
            <w:tcW w:w="1657"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rPr>
                <w:rFonts w:eastAsia="Times New Roman" w:cs="Times New Roman"/>
                <w:szCs w:val="24"/>
                <w:lang w:eastAsia="en-GB"/>
              </w:rPr>
            </w:pPr>
            <w:r w:rsidRPr="00B84BFB">
              <w:rPr>
                <w:rFonts w:eastAsia="Times New Roman" w:cs="Times New Roman"/>
                <w:szCs w:val="24"/>
                <w:lang w:eastAsia="en-GB"/>
              </w:rPr>
              <w:t>6. Informācija par konsultācijām ar privātpersonām</w:t>
            </w:r>
          </w:p>
        </w:tc>
        <w:tc>
          <w:tcPr>
            <w:tcW w:w="3343" w:type="pct"/>
            <w:tcBorders>
              <w:top w:val="outset" w:sz="6" w:space="0" w:color="414142"/>
              <w:left w:val="outset" w:sz="6" w:space="0" w:color="414142"/>
              <w:bottom w:val="outset" w:sz="6" w:space="0" w:color="414142"/>
              <w:right w:val="outset" w:sz="6" w:space="0" w:color="414142"/>
            </w:tcBorders>
            <w:hideMark/>
          </w:tcPr>
          <w:p w:rsidR="00B84BFB" w:rsidRPr="00B84BFB" w:rsidRDefault="00B84BFB" w:rsidP="00B84BFB">
            <w:pPr>
              <w:spacing w:line="240" w:lineRule="auto"/>
              <w:ind w:left="110"/>
              <w:rPr>
                <w:rFonts w:eastAsia="Times New Roman" w:cs="Times New Roman"/>
                <w:szCs w:val="24"/>
                <w:lang w:eastAsia="en-GB"/>
              </w:rPr>
            </w:pPr>
            <w:r w:rsidRPr="00B84BFB">
              <w:rPr>
                <w:rFonts w:eastAsia="Times New Roman" w:cs="Times New Roman"/>
                <w:szCs w:val="24"/>
                <w:lang w:eastAsia="en-GB"/>
              </w:rPr>
              <w:t>Nav notikušas.</w:t>
            </w:r>
          </w:p>
        </w:tc>
      </w:tr>
    </w:tbl>
    <w:p w:rsidR="00B84BFB" w:rsidRDefault="00B84BFB" w:rsidP="00B84BFB">
      <w:pPr>
        <w:tabs>
          <w:tab w:val="left" w:pos="6379"/>
        </w:tabs>
        <w:spacing w:line="240" w:lineRule="auto"/>
        <w:jc w:val="both"/>
        <w:rPr>
          <w:rFonts w:eastAsia="Calibri" w:cs="Times New Roman"/>
          <w:szCs w:val="24"/>
        </w:rPr>
      </w:pPr>
    </w:p>
    <w:p w:rsidR="00B84BFB" w:rsidRPr="00B84BFB" w:rsidRDefault="00B84BFB" w:rsidP="00B84BFB">
      <w:pPr>
        <w:tabs>
          <w:tab w:val="left" w:pos="6379"/>
        </w:tabs>
        <w:spacing w:line="240" w:lineRule="auto"/>
        <w:jc w:val="both"/>
        <w:rPr>
          <w:rFonts w:eastAsia="Calibri" w:cs="Times New Roman"/>
          <w:szCs w:val="24"/>
        </w:rPr>
      </w:pPr>
    </w:p>
    <w:p w:rsidR="00B1214A" w:rsidRDefault="00B1214A" w:rsidP="00B1214A">
      <w:pPr>
        <w:spacing w:line="240" w:lineRule="auto"/>
        <w:jc w:val="both"/>
        <w:rPr>
          <w:rFonts w:eastAsia="Times New Roman" w:cs="Times New Roman"/>
          <w:color w:val="000000" w:themeColor="text1"/>
          <w:szCs w:val="24"/>
          <w:lang w:eastAsia="ru-RU"/>
        </w:rPr>
      </w:pPr>
      <w:r>
        <w:rPr>
          <w:rFonts w:eastAsia="Times New Roman" w:cs="Times New Roman"/>
          <w:szCs w:val="24"/>
          <w:lang w:eastAsia="ru-RU"/>
        </w:rPr>
        <w:t xml:space="preserve">Domes priekšsēdētājs                  </w:t>
      </w:r>
      <w:r>
        <w:rPr>
          <w:rFonts w:eastAsia="Times New Roman" w:cs="Times New Roman"/>
          <w:i/>
          <w:szCs w:val="24"/>
          <w:lang w:eastAsia="ru-RU"/>
        </w:rPr>
        <w:t>( personiskais paraksts)</w:t>
      </w:r>
      <w:r>
        <w:rPr>
          <w:rFonts w:eastAsia="Times New Roman" w:cs="Times New Roman"/>
          <w:szCs w:val="24"/>
          <w:lang w:eastAsia="ru-RU"/>
        </w:rPr>
        <w:t xml:space="preserve">               </w:t>
      </w:r>
      <w:r>
        <w:rPr>
          <w:rFonts w:eastAsia="Times New Roman" w:cs="Times New Roman"/>
          <w:color w:val="000000" w:themeColor="text1"/>
          <w:szCs w:val="24"/>
          <w:lang w:eastAsia="ru-RU"/>
        </w:rPr>
        <w:tab/>
      </w:r>
      <w:r>
        <w:rPr>
          <w:rFonts w:eastAsia="Times New Roman" w:cs="Times New Roman"/>
          <w:color w:val="000000" w:themeColor="text1"/>
          <w:szCs w:val="24"/>
          <w:lang w:eastAsia="ru-RU"/>
        </w:rPr>
        <w:tab/>
        <w:t xml:space="preserve">      </w:t>
      </w:r>
      <w:proofErr w:type="spellStart"/>
      <w:r>
        <w:rPr>
          <w:rFonts w:eastAsia="Times New Roman" w:cs="Times New Roman"/>
          <w:color w:val="000000" w:themeColor="text1"/>
          <w:szCs w:val="24"/>
          <w:lang w:eastAsia="ru-RU"/>
        </w:rPr>
        <w:t>A.Elksniņš</w:t>
      </w:r>
      <w:proofErr w:type="spellEnd"/>
    </w:p>
    <w:p w:rsidR="00BC2DCB" w:rsidRPr="00B84BFB" w:rsidRDefault="00BC2DCB" w:rsidP="00B84BFB">
      <w:pPr>
        <w:tabs>
          <w:tab w:val="left" w:pos="6379"/>
        </w:tabs>
        <w:spacing w:line="240" w:lineRule="auto"/>
        <w:jc w:val="both"/>
        <w:rPr>
          <w:rFonts w:ascii="Calibri" w:eastAsia="Calibri" w:hAnsi="Calibri" w:cs="Times New Roman"/>
          <w:szCs w:val="24"/>
        </w:rPr>
      </w:pPr>
      <w:bookmarkStart w:id="0" w:name="_GoBack"/>
      <w:bookmarkEnd w:id="0"/>
    </w:p>
    <w:p w:rsidR="003F3AE0" w:rsidRDefault="003F3AE0"/>
    <w:sectPr w:rsidR="003F3AE0" w:rsidSect="00ED32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FB"/>
    <w:rsid w:val="003F3AE0"/>
    <w:rsid w:val="00B1214A"/>
    <w:rsid w:val="00B84BFB"/>
    <w:rsid w:val="00BC2DCB"/>
    <w:rsid w:val="00EA7BAE"/>
    <w:rsid w:val="00ED3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AB679-7469-4614-BD8B-D16486F9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BAE"/>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2132</Words>
  <Characters>1216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Sindina</dc:creator>
  <cp:keywords/>
  <dc:description/>
  <cp:lastModifiedBy>Vita Pavlovica</cp:lastModifiedBy>
  <cp:revision>4</cp:revision>
  <dcterms:created xsi:type="dcterms:W3CDTF">2021-08-12T13:12:00Z</dcterms:created>
  <dcterms:modified xsi:type="dcterms:W3CDTF">2021-08-16T12:01:00Z</dcterms:modified>
</cp:coreProperties>
</file>