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F0" w:rsidRDefault="00E66C9B" w:rsidP="003A7C85">
      <w:pPr>
        <w:pStyle w:val="BodyText2"/>
        <w:rPr>
          <w:b/>
          <w:bCs/>
          <w:sz w:val="24"/>
        </w:rPr>
      </w:pPr>
      <w:r w:rsidRPr="00A42069">
        <w:rPr>
          <w:b/>
          <w:bCs/>
          <w:sz w:val="24"/>
        </w:rPr>
        <w:t xml:space="preserve">Daugavpils domes </w:t>
      </w:r>
      <w:r w:rsidR="003A7C85">
        <w:rPr>
          <w:b/>
          <w:bCs/>
          <w:sz w:val="24"/>
        </w:rPr>
        <w:t xml:space="preserve">2021.gada 12.augusta </w:t>
      </w:r>
      <w:r w:rsidR="00811AF0">
        <w:rPr>
          <w:b/>
          <w:bCs/>
          <w:sz w:val="24"/>
        </w:rPr>
        <w:t>saistošo noteikumu Nr.43</w:t>
      </w:r>
    </w:p>
    <w:p w:rsidR="00E66C9B" w:rsidRPr="00A42069" w:rsidRDefault="004111EC" w:rsidP="003A7C85">
      <w:pPr>
        <w:pStyle w:val="BodyText2"/>
        <w:rPr>
          <w:b/>
          <w:bCs/>
          <w:sz w:val="24"/>
        </w:rPr>
      </w:pPr>
      <w:r w:rsidRPr="00A42069">
        <w:rPr>
          <w:b/>
          <w:bCs/>
          <w:sz w:val="24"/>
        </w:rPr>
        <w:t>“</w:t>
      </w:r>
      <w:r w:rsidR="00A42069" w:rsidRPr="00A42069">
        <w:rPr>
          <w:b/>
          <w:bCs/>
          <w:sz w:val="24"/>
        </w:rPr>
        <w:t>Grozījumi Daugavpils domes 2008.gada 15.maija saistošajos noteikumos Nr.25 “</w:t>
      </w:r>
      <w:r w:rsidR="00A42069" w:rsidRPr="00A42069">
        <w:rPr>
          <w:b/>
          <w:bCs/>
          <w:sz w:val="24"/>
          <w:shd w:val="clear" w:color="auto" w:fill="FFFFFF"/>
        </w:rPr>
        <w:t>Par nekustamā īpašuma nodokļa atvieglojumu piemērošanu Daugavpilī</w:t>
      </w:r>
      <w:r w:rsidR="00A42069" w:rsidRPr="00A42069">
        <w:rPr>
          <w:b/>
          <w:bCs/>
          <w:sz w:val="24"/>
        </w:rPr>
        <w:t>”</w:t>
      </w:r>
      <w:r w:rsidR="00E73900" w:rsidRPr="00A42069">
        <w:rPr>
          <w:b/>
          <w:bCs/>
          <w:sz w:val="24"/>
        </w:rPr>
        <w:t>”</w:t>
      </w:r>
      <w:r w:rsidR="00E66C9B" w:rsidRPr="00A42069">
        <w:rPr>
          <w:b/>
          <w:bCs/>
          <w:sz w:val="24"/>
        </w:rPr>
        <w:t xml:space="preserve"> paskaidrojuma raksts</w:t>
      </w:r>
    </w:p>
    <w:p w:rsidR="00E66C9B" w:rsidRPr="00D506FF" w:rsidRDefault="00E66C9B">
      <w:pPr>
        <w:ind w:firstLine="180"/>
        <w:jc w:val="center"/>
        <w:rPr>
          <w:b/>
          <w:bCs/>
          <w:sz w:val="22"/>
          <w:szCs w:val="2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040"/>
      </w:tblGrid>
      <w:tr w:rsidR="00E66C9B" w:rsidRPr="00E73900" w:rsidTr="003A7C8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jc w:val="center"/>
              <w:rPr>
                <w:b/>
              </w:rPr>
            </w:pPr>
            <w:r w:rsidRPr="00E73900">
              <w:rPr>
                <w:b/>
              </w:rPr>
              <w:t>Paskaidrojuma raksta sadaļas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E73900" w:rsidRDefault="00E66C9B">
            <w:pPr>
              <w:pStyle w:val="naisnod"/>
              <w:spacing w:before="0" w:after="0"/>
              <w:rPr>
                <w:lang w:eastAsia="en-US"/>
              </w:rPr>
            </w:pPr>
            <w:r w:rsidRPr="00E73900">
              <w:rPr>
                <w:lang w:eastAsia="en-US"/>
              </w:rPr>
              <w:t>Norādāmā informācija</w:t>
            </w:r>
          </w:p>
        </w:tc>
      </w:tr>
      <w:tr w:rsidR="005A246C" w:rsidRPr="002D2BD3" w:rsidTr="003A7C8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1. Projekta nepieciešamības pamatojums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FC" w:rsidRPr="00F4414F" w:rsidRDefault="00F4414F" w:rsidP="00A42069">
            <w:pPr>
              <w:ind w:firstLine="365"/>
              <w:jc w:val="both"/>
              <w:rPr>
                <w:color w:val="000000"/>
                <w:shd w:val="clear" w:color="auto" w:fill="FFFFFF"/>
                <w:lang w:val="lv-LV"/>
              </w:rPr>
            </w:pPr>
            <w:r w:rsidRPr="00F4414F">
              <w:rPr>
                <w:lang w:val="lv-LV"/>
              </w:rPr>
              <w:t xml:space="preserve">Ņemot vērā to, ka </w:t>
            </w:r>
            <w:r w:rsidRPr="00F4414F">
              <w:rPr>
                <w:color w:val="000000"/>
                <w:shd w:val="clear" w:color="auto" w:fill="FFFFFF"/>
                <w:lang w:val="lv-LV"/>
              </w:rPr>
              <w:t xml:space="preserve">Daugavpils dome ir pieņēmusi lēmumus </w:t>
            </w:r>
            <w:r w:rsidR="00816F03">
              <w:rPr>
                <w:color w:val="000000"/>
                <w:shd w:val="clear" w:color="auto" w:fill="FFFFFF"/>
                <w:lang w:val="lv-LV"/>
              </w:rPr>
              <w:t>likvidēt Nekustamā īpašuma nodokļa atvieglojumu piešķiršanas komisiju</w:t>
            </w:r>
            <w:r w:rsidRPr="00F4414F">
              <w:rPr>
                <w:color w:val="000000"/>
                <w:shd w:val="clear" w:color="auto" w:fill="FFFFFF"/>
                <w:lang w:val="lv-LV"/>
              </w:rPr>
              <w:t xml:space="preserve">, </w:t>
            </w:r>
            <w:r w:rsidRPr="00F4414F">
              <w:rPr>
                <w:lang w:val="lv-LV"/>
              </w:rPr>
              <w:t>ir nepieciešams precizēt saistošo noteikumu tekstu.</w:t>
            </w:r>
            <w:r w:rsidR="00816F03">
              <w:rPr>
                <w:lang w:val="lv-LV"/>
              </w:rPr>
              <w:t xml:space="preserve"> Kā arī, </w:t>
            </w:r>
            <w:r w:rsidR="00A42069">
              <w:rPr>
                <w:lang w:val="lv-LV"/>
              </w:rPr>
              <w:t xml:space="preserve">ir nepieciešams tekstā mainīt terminu “trūcīga vai maznodrošināta persona” un </w:t>
            </w:r>
            <w:r w:rsidR="00816F03">
              <w:rPr>
                <w:lang w:val="lv-LV"/>
              </w:rPr>
              <w:t>dome ir pašvaldības kā atvasinātas publiskas personas orgāns, ko veido vēlēti deputāti, un vārds “dome” lietojams vienīgi tā apzīmēšanai.</w:t>
            </w:r>
          </w:p>
        </w:tc>
      </w:tr>
      <w:tr w:rsidR="00E66C9B" w:rsidRPr="002D2BD3" w:rsidTr="003A7C8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2. Īss projekta satura izklāsts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F1" w:rsidRDefault="00B25D72" w:rsidP="003A7C85">
            <w:pPr>
              <w:pStyle w:val="naisnod"/>
              <w:spacing w:before="0" w:after="0"/>
              <w:ind w:left="113" w:firstLine="283"/>
              <w:jc w:val="both"/>
              <w:rPr>
                <w:b w:val="0"/>
              </w:rPr>
            </w:pPr>
            <w:r>
              <w:rPr>
                <w:b w:val="0"/>
              </w:rPr>
              <w:t>Ar grozījumiem</w:t>
            </w:r>
            <w:r w:rsidR="00816F03">
              <w:rPr>
                <w:b w:val="0"/>
              </w:rPr>
              <w:t>:</w:t>
            </w:r>
          </w:p>
          <w:p w:rsidR="00D35BA6" w:rsidRDefault="00816F03" w:rsidP="003A7C85">
            <w:pPr>
              <w:pStyle w:val="naisnod"/>
              <w:numPr>
                <w:ilvl w:val="0"/>
                <w:numId w:val="4"/>
              </w:numPr>
              <w:spacing w:before="0" w:after="0"/>
              <w:ind w:left="113" w:firstLine="283"/>
              <w:jc w:val="both"/>
              <w:rPr>
                <w:b w:val="0"/>
              </w:rPr>
            </w:pPr>
            <w:r>
              <w:rPr>
                <w:b w:val="0"/>
              </w:rPr>
              <w:t xml:space="preserve">tekstā tiek precizēts vārda “dome” lietojums (grozījums </w:t>
            </w:r>
            <w:r w:rsidR="00A42069">
              <w:rPr>
                <w:b w:val="0"/>
              </w:rPr>
              <w:t>4</w:t>
            </w:r>
            <w:r>
              <w:rPr>
                <w:b w:val="0"/>
              </w:rPr>
              <w:t>.</w:t>
            </w:r>
            <w:r w:rsidR="00A42069">
              <w:rPr>
                <w:b w:val="0"/>
              </w:rPr>
              <w:t>, 6., 6.</w:t>
            </w:r>
            <w:r w:rsidR="00A42069">
              <w:rPr>
                <w:b w:val="0"/>
                <w:vertAlign w:val="superscript"/>
              </w:rPr>
              <w:t>2</w:t>
            </w:r>
            <w:r w:rsidR="00402570">
              <w:rPr>
                <w:b w:val="0"/>
              </w:rPr>
              <w:t>, 7.</w:t>
            </w:r>
            <w:r w:rsidR="00A42069">
              <w:rPr>
                <w:b w:val="0"/>
              </w:rPr>
              <w:t>punktā</w:t>
            </w:r>
            <w:r w:rsidR="00402570">
              <w:rPr>
                <w:b w:val="0"/>
              </w:rPr>
              <w:t xml:space="preserve"> un pielikumā</w:t>
            </w:r>
            <w:r>
              <w:rPr>
                <w:b w:val="0"/>
              </w:rPr>
              <w:t>);</w:t>
            </w:r>
          </w:p>
          <w:p w:rsidR="00D35BA6" w:rsidRPr="00402570" w:rsidRDefault="00D35BA6" w:rsidP="003A7C85">
            <w:pPr>
              <w:pStyle w:val="naisnod"/>
              <w:numPr>
                <w:ilvl w:val="0"/>
                <w:numId w:val="4"/>
              </w:numPr>
              <w:spacing w:before="0" w:after="0"/>
              <w:ind w:left="113" w:firstLine="283"/>
              <w:jc w:val="both"/>
              <w:rPr>
                <w:b w:val="0"/>
                <w:bCs w:val="0"/>
              </w:rPr>
            </w:pPr>
            <w:r w:rsidRPr="00D35BA6">
              <w:rPr>
                <w:b w:val="0"/>
                <w:bCs w:val="0"/>
                <w:color w:val="000000"/>
                <w:shd w:val="clear" w:color="auto" w:fill="FFFFFF"/>
              </w:rPr>
              <w:t>Nekustamā īpašuma nodokļa atvieglojumu piešķiršanas komisij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a tiek aizstāta ar Pašvaldības Īpašuma pārvaldīšanas departamentu (grozījums 6.punktā)</w:t>
            </w:r>
            <w:r w:rsidR="00402570">
              <w:rPr>
                <w:b w:val="0"/>
                <w:bCs w:val="0"/>
                <w:color w:val="000000"/>
                <w:shd w:val="clear" w:color="auto" w:fill="FFFFFF"/>
              </w:rPr>
              <w:t>;</w:t>
            </w:r>
          </w:p>
          <w:p w:rsidR="00402570" w:rsidRPr="00D35BA6" w:rsidRDefault="00402570" w:rsidP="003A7C85">
            <w:pPr>
              <w:pStyle w:val="naisnod"/>
              <w:numPr>
                <w:ilvl w:val="0"/>
                <w:numId w:val="4"/>
              </w:numPr>
              <w:spacing w:before="0" w:after="0"/>
              <w:ind w:left="113" w:firstLine="28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tekstā tiek precizēti vārdi “trūcīgas vai maznodrošinātas mājsaimniecības statuss” (grozījums 2.1.</w:t>
            </w:r>
            <w:r>
              <w:rPr>
                <w:b w:val="0"/>
                <w:bCs w:val="0"/>
                <w:vertAlign w:val="superscript"/>
              </w:rPr>
              <w:t>2</w:t>
            </w:r>
            <w:r>
              <w:rPr>
                <w:b w:val="0"/>
                <w:bCs w:val="0"/>
              </w:rPr>
              <w:t>apakšpunktā, 5.</w:t>
            </w:r>
            <w:r>
              <w:rPr>
                <w:b w:val="0"/>
                <w:bCs w:val="0"/>
                <w:vertAlign w:val="superscript"/>
              </w:rPr>
              <w:t>1</w:t>
            </w:r>
            <w:r>
              <w:rPr>
                <w:b w:val="0"/>
                <w:bCs w:val="0"/>
              </w:rPr>
              <w:t>punktā, 6.punktā).</w:t>
            </w:r>
          </w:p>
        </w:tc>
      </w:tr>
      <w:tr w:rsidR="00820F1C" w:rsidRPr="00E73900" w:rsidTr="003A7C8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1C" w:rsidRPr="00E73900" w:rsidRDefault="00820F1C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E73900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EE" w:rsidRPr="00C250F0" w:rsidRDefault="00B01387" w:rsidP="00820F1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  <w:tr w:rsidR="00B01387" w:rsidRPr="00E73900" w:rsidTr="003A7C8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 xml:space="preserve">Nav </w:t>
            </w:r>
            <w:r w:rsidR="00D26226">
              <w:rPr>
                <w:b w:val="0"/>
                <w:bCs w:val="0"/>
                <w:iCs/>
              </w:rPr>
              <w:t>būtiskas ietekmes</w:t>
            </w:r>
            <w:r>
              <w:rPr>
                <w:b w:val="0"/>
                <w:bCs w:val="0"/>
                <w:iCs/>
              </w:rPr>
              <w:t>.</w:t>
            </w:r>
          </w:p>
        </w:tc>
      </w:tr>
      <w:tr w:rsidR="00B01387" w:rsidRPr="002D2BD3" w:rsidTr="003A7C8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D35BA6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hd w:val="clear" w:color="auto" w:fill="FFFFFF"/>
              </w:rPr>
              <w:t xml:space="preserve">Pašvaldības Īpašuma pārvaldīšanas departaments </w:t>
            </w:r>
            <w:r w:rsidRPr="007931C0">
              <w:rPr>
                <w:b w:val="0"/>
                <w:bCs w:val="0"/>
                <w:shd w:val="clear" w:color="auto" w:fill="FFFFFF"/>
              </w:rPr>
              <w:t xml:space="preserve">izskatīs jautājumus, kas </w:t>
            </w:r>
            <w:r>
              <w:rPr>
                <w:b w:val="0"/>
                <w:bCs w:val="0"/>
                <w:shd w:val="clear" w:color="auto" w:fill="FFFFFF"/>
              </w:rPr>
              <w:t>bija Nekustamā īpašuma nodokļa atvieglojumu piešķiršanas komisijas</w:t>
            </w:r>
            <w:r w:rsidRPr="007931C0">
              <w:rPr>
                <w:b w:val="0"/>
                <w:bCs w:val="0"/>
              </w:rPr>
              <w:t xml:space="preserve"> kompetencē.</w:t>
            </w:r>
          </w:p>
        </w:tc>
      </w:tr>
      <w:tr w:rsidR="00B01387" w:rsidRPr="00E73900" w:rsidTr="003A7C8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B0138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</w:tbl>
    <w:p w:rsidR="005A246C" w:rsidRDefault="005A246C">
      <w:pPr>
        <w:rPr>
          <w:sz w:val="22"/>
          <w:szCs w:val="22"/>
          <w:lang w:val="lv-LV"/>
        </w:rPr>
      </w:pPr>
    </w:p>
    <w:p w:rsidR="003A7C85" w:rsidRDefault="003A7C85">
      <w:pPr>
        <w:rPr>
          <w:sz w:val="22"/>
          <w:szCs w:val="22"/>
          <w:lang w:val="lv-LV"/>
        </w:rPr>
      </w:pPr>
    </w:p>
    <w:p w:rsidR="002D2BD3" w:rsidRDefault="002D2BD3" w:rsidP="002D2BD3">
      <w:pPr>
        <w:jc w:val="both"/>
        <w:rPr>
          <w:color w:val="000000" w:themeColor="text1"/>
          <w:lang w:val="lv-LV" w:eastAsia="ru-RU"/>
        </w:rPr>
      </w:pPr>
      <w:r>
        <w:rPr>
          <w:lang w:val="lv-LV" w:eastAsia="ru-RU"/>
        </w:rPr>
        <w:t xml:space="preserve">Domes priekšsēdētājs                  </w:t>
      </w:r>
      <w:r>
        <w:rPr>
          <w:i/>
          <w:lang w:eastAsia="ru-RU"/>
        </w:rPr>
        <w:t xml:space="preserve">( </w:t>
      </w:r>
      <w:proofErr w:type="spellStart"/>
      <w:r>
        <w:rPr>
          <w:i/>
          <w:lang w:eastAsia="ru-RU"/>
        </w:rPr>
        <w:t>personiskais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paraksts</w:t>
      </w:r>
      <w:proofErr w:type="spellEnd"/>
      <w:r>
        <w:rPr>
          <w:i/>
          <w:lang w:eastAsia="ru-RU"/>
        </w:rPr>
        <w:t>)</w:t>
      </w:r>
      <w:r>
        <w:rPr>
          <w:lang w:val="lv-LV" w:eastAsia="ru-RU"/>
        </w:rPr>
        <w:t xml:space="preserve">               </w:t>
      </w:r>
      <w:r>
        <w:rPr>
          <w:color w:val="000000" w:themeColor="text1"/>
          <w:lang w:val="lv-LV" w:eastAsia="ru-RU"/>
        </w:rPr>
        <w:tab/>
      </w:r>
      <w:r>
        <w:rPr>
          <w:color w:val="000000" w:themeColor="text1"/>
          <w:lang w:val="lv-LV" w:eastAsia="ru-RU"/>
        </w:rPr>
        <w:tab/>
        <w:t xml:space="preserve">      </w:t>
      </w:r>
      <w:proofErr w:type="spellStart"/>
      <w:r>
        <w:rPr>
          <w:color w:val="000000" w:themeColor="text1"/>
          <w:lang w:val="lv-LV" w:eastAsia="ru-RU"/>
        </w:rPr>
        <w:t>A.Elksniņš</w:t>
      </w:r>
      <w:proofErr w:type="spellEnd"/>
    </w:p>
    <w:p w:rsidR="00095483" w:rsidRPr="00F4414F" w:rsidRDefault="00095483">
      <w:pPr>
        <w:rPr>
          <w:lang w:val="lv-LV"/>
        </w:rPr>
      </w:pPr>
      <w:bookmarkStart w:id="0" w:name="_GoBack"/>
      <w:bookmarkEnd w:id="0"/>
    </w:p>
    <w:sectPr w:rsidR="00095483" w:rsidRPr="00F4414F" w:rsidSect="003A7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C11" w:rsidRDefault="00F64C11" w:rsidP="00B25D72">
      <w:r>
        <w:separator/>
      </w:r>
    </w:p>
  </w:endnote>
  <w:endnote w:type="continuationSeparator" w:id="0">
    <w:p w:rsidR="00F64C11" w:rsidRDefault="00F64C11" w:rsidP="00B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C11" w:rsidRDefault="00F64C11" w:rsidP="00B25D72">
      <w:r>
        <w:separator/>
      </w:r>
    </w:p>
  </w:footnote>
  <w:footnote w:type="continuationSeparator" w:id="0">
    <w:p w:rsidR="00F64C11" w:rsidRDefault="00F64C11" w:rsidP="00B2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66E"/>
    <w:multiLevelType w:val="hybridMultilevel"/>
    <w:tmpl w:val="D22A35E8"/>
    <w:lvl w:ilvl="0" w:tplc="DCF68B20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006"/>
    <w:multiLevelType w:val="hybridMultilevel"/>
    <w:tmpl w:val="482C1B22"/>
    <w:lvl w:ilvl="0" w:tplc="67D849FA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406010A"/>
    <w:multiLevelType w:val="hybridMultilevel"/>
    <w:tmpl w:val="1130B1C6"/>
    <w:lvl w:ilvl="0" w:tplc="1F5ED1A4"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E8"/>
    <w:rsid w:val="00013EF1"/>
    <w:rsid w:val="00030EF8"/>
    <w:rsid w:val="00031437"/>
    <w:rsid w:val="000518EB"/>
    <w:rsid w:val="00054DF9"/>
    <w:rsid w:val="00055FEE"/>
    <w:rsid w:val="000653AB"/>
    <w:rsid w:val="000820C3"/>
    <w:rsid w:val="0008784B"/>
    <w:rsid w:val="00095483"/>
    <w:rsid w:val="00095903"/>
    <w:rsid w:val="000A4E04"/>
    <w:rsid w:val="000D4714"/>
    <w:rsid w:val="000E4057"/>
    <w:rsid w:val="000F6CBC"/>
    <w:rsid w:val="00106911"/>
    <w:rsid w:val="0011771D"/>
    <w:rsid w:val="00117FCA"/>
    <w:rsid w:val="00127C3E"/>
    <w:rsid w:val="001706D6"/>
    <w:rsid w:val="00177199"/>
    <w:rsid w:val="00185D4C"/>
    <w:rsid w:val="001860F6"/>
    <w:rsid w:val="0018637D"/>
    <w:rsid w:val="001C4E0F"/>
    <w:rsid w:val="001C5BEF"/>
    <w:rsid w:val="001E2C1C"/>
    <w:rsid w:val="00203D4E"/>
    <w:rsid w:val="00205251"/>
    <w:rsid w:val="00205612"/>
    <w:rsid w:val="00232773"/>
    <w:rsid w:val="002473D5"/>
    <w:rsid w:val="00266D7C"/>
    <w:rsid w:val="00276E2D"/>
    <w:rsid w:val="002856B7"/>
    <w:rsid w:val="002A4231"/>
    <w:rsid w:val="002A64CB"/>
    <w:rsid w:val="002C47E5"/>
    <w:rsid w:val="002D2BD3"/>
    <w:rsid w:val="003037E2"/>
    <w:rsid w:val="003428FC"/>
    <w:rsid w:val="00375660"/>
    <w:rsid w:val="00376BA9"/>
    <w:rsid w:val="003A7C85"/>
    <w:rsid w:val="003C605C"/>
    <w:rsid w:val="003D19AD"/>
    <w:rsid w:val="003F1E1C"/>
    <w:rsid w:val="00402570"/>
    <w:rsid w:val="004111EC"/>
    <w:rsid w:val="005006BD"/>
    <w:rsid w:val="005247F9"/>
    <w:rsid w:val="00527FAB"/>
    <w:rsid w:val="005340EC"/>
    <w:rsid w:val="00550F89"/>
    <w:rsid w:val="00571C7B"/>
    <w:rsid w:val="00583801"/>
    <w:rsid w:val="005A246C"/>
    <w:rsid w:val="005B355F"/>
    <w:rsid w:val="005B44F7"/>
    <w:rsid w:val="005C4D57"/>
    <w:rsid w:val="005D48F3"/>
    <w:rsid w:val="006647D0"/>
    <w:rsid w:val="00693BEA"/>
    <w:rsid w:val="006A2B86"/>
    <w:rsid w:val="006B120C"/>
    <w:rsid w:val="006E17B1"/>
    <w:rsid w:val="006F75BE"/>
    <w:rsid w:val="00723AB8"/>
    <w:rsid w:val="007259B6"/>
    <w:rsid w:val="00732EEC"/>
    <w:rsid w:val="00747550"/>
    <w:rsid w:val="00756E7E"/>
    <w:rsid w:val="00757330"/>
    <w:rsid w:val="007855A2"/>
    <w:rsid w:val="007A17FC"/>
    <w:rsid w:val="007E00FE"/>
    <w:rsid w:val="00811AF0"/>
    <w:rsid w:val="00816F03"/>
    <w:rsid w:val="00820F1C"/>
    <w:rsid w:val="008256F4"/>
    <w:rsid w:val="00837AEC"/>
    <w:rsid w:val="00857986"/>
    <w:rsid w:val="00875B49"/>
    <w:rsid w:val="00883F2A"/>
    <w:rsid w:val="00885DF4"/>
    <w:rsid w:val="008A3412"/>
    <w:rsid w:val="008C71C5"/>
    <w:rsid w:val="008D4F3D"/>
    <w:rsid w:val="0092073B"/>
    <w:rsid w:val="0094227C"/>
    <w:rsid w:val="00966269"/>
    <w:rsid w:val="00993105"/>
    <w:rsid w:val="00997288"/>
    <w:rsid w:val="00A17F4C"/>
    <w:rsid w:val="00A42069"/>
    <w:rsid w:val="00A625F5"/>
    <w:rsid w:val="00A74122"/>
    <w:rsid w:val="00A829AF"/>
    <w:rsid w:val="00B01387"/>
    <w:rsid w:val="00B2396C"/>
    <w:rsid w:val="00B25D72"/>
    <w:rsid w:val="00B82FD7"/>
    <w:rsid w:val="00B86B52"/>
    <w:rsid w:val="00B97FF5"/>
    <w:rsid w:val="00BD030A"/>
    <w:rsid w:val="00C250F0"/>
    <w:rsid w:val="00C63E8F"/>
    <w:rsid w:val="00C95F5C"/>
    <w:rsid w:val="00CA3685"/>
    <w:rsid w:val="00CB1EEB"/>
    <w:rsid w:val="00CC2A95"/>
    <w:rsid w:val="00CD48AD"/>
    <w:rsid w:val="00D26226"/>
    <w:rsid w:val="00D27D35"/>
    <w:rsid w:val="00D35BA6"/>
    <w:rsid w:val="00D506FF"/>
    <w:rsid w:val="00D51EE8"/>
    <w:rsid w:val="00D57E18"/>
    <w:rsid w:val="00D60E64"/>
    <w:rsid w:val="00DF2B6D"/>
    <w:rsid w:val="00E52C70"/>
    <w:rsid w:val="00E5357D"/>
    <w:rsid w:val="00E66C9B"/>
    <w:rsid w:val="00E73900"/>
    <w:rsid w:val="00E93AF9"/>
    <w:rsid w:val="00EA2FBE"/>
    <w:rsid w:val="00EA505C"/>
    <w:rsid w:val="00F4414F"/>
    <w:rsid w:val="00F53C60"/>
    <w:rsid w:val="00F64C11"/>
    <w:rsid w:val="00F735EE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AB47F-2072-4583-BDA2-D62F7AD0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tv2131">
    <w:name w:val="tv2131"/>
    <w:basedOn w:val="Normal"/>
    <w:rsid w:val="006F75B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semiHidden/>
    <w:rsid w:val="001E2C1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B25D72"/>
    <w:rPr>
      <w:sz w:val="20"/>
      <w:szCs w:val="20"/>
    </w:rPr>
  </w:style>
  <w:style w:type="character" w:customStyle="1" w:styleId="EndnoteTextChar">
    <w:name w:val="Endnote Text Char"/>
    <w:link w:val="EndnoteText"/>
    <w:rsid w:val="00B25D72"/>
    <w:rPr>
      <w:lang w:val="en-US" w:eastAsia="en-US"/>
    </w:rPr>
  </w:style>
  <w:style w:type="character" w:styleId="EndnoteReference">
    <w:name w:val="endnote reference"/>
    <w:rsid w:val="00B25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 2012</vt:lpstr>
      <vt:lpstr>Daugavpils pilsētas domes 2012</vt:lpstr>
    </vt:vector>
  </TitlesOfParts>
  <Company>pd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Vita Pavlovica</cp:lastModifiedBy>
  <cp:revision>4</cp:revision>
  <cp:lastPrinted>2021-08-02T07:12:00Z</cp:lastPrinted>
  <dcterms:created xsi:type="dcterms:W3CDTF">2021-08-12T13:04:00Z</dcterms:created>
  <dcterms:modified xsi:type="dcterms:W3CDTF">2021-08-16T12:00:00Z</dcterms:modified>
</cp:coreProperties>
</file>