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282" w:rsidRDefault="00480282" w:rsidP="007A1009">
      <w:pPr>
        <w:jc w:val="center"/>
        <w:outlineLvl w:val="3"/>
        <w:rPr>
          <w:b/>
          <w:lang w:val="lv-LV"/>
        </w:rPr>
      </w:pPr>
    </w:p>
    <w:p w:rsidR="00311150" w:rsidRPr="00480282" w:rsidRDefault="007A1009" w:rsidP="007A1009">
      <w:pPr>
        <w:jc w:val="center"/>
        <w:outlineLvl w:val="3"/>
        <w:rPr>
          <w:b/>
          <w:lang w:val="lv-LV"/>
        </w:rPr>
      </w:pPr>
      <w:r w:rsidRPr="00480282">
        <w:rPr>
          <w:b/>
          <w:lang w:val="lv-LV"/>
        </w:rPr>
        <w:t>Daugavpils pilsētas domes</w:t>
      </w:r>
      <w:r w:rsidR="00291309" w:rsidRPr="00480282">
        <w:rPr>
          <w:b/>
          <w:lang w:val="lv-LV"/>
        </w:rPr>
        <w:t xml:space="preserve"> </w:t>
      </w:r>
      <w:r w:rsidR="003F21D1">
        <w:rPr>
          <w:b/>
          <w:lang w:val="lv-LV"/>
        </w:rPr>
        <w:t>2021.gada 10.jūnija saistošo noteikumu Nr.33</w:t>
      </w:r>
    </w:p>
    <w:p w:rsidR="007A1009" w:rsidRPr="00480282" w:rsidRDefault="00311150" w:rsidP="007A1009">
      <w:pPr>
        <w:jc w:val="center"/>
        <w:outlineLvl w:val="3"/>
        <w:rPr>
          <w:b/>
          <w:bCs/>
          <w:lang w:val="lv-LV"/>
        </w:rPr>
      </w:pPr>
      <w:r w:rsidRPr="00480282">
        <w:rPr>
          <w:b/>
          <w:lang w:val="lv-LV"/>
        </w:rPr>
        <w:t xml:space="preserve"> </w:t>
      </w:r>
      <w:r w:rsidR="00B25240" w:rsidRPr="00480282">
        <w:rPr>
          <w:b/>
          <w:lang w:val="lv-LV"/>
        </w:rPr>
        <w:t>“</w:t>
      </w:r>
      <w:r w:rsidR="00EA33DE" w:rsidRPr="00A4327E">
        <w:rPr>
          <w:b/>
          <w:bCs/>
          <w:lang w:val="lv-LV"/>
        </w:rPr>
        <w:t>Grozījums Daugavpils pilsētas domes 2013.gada 14.novembra saistošajos noteikumos Nr.55 “</w:t>
      </w:r>
      <w:r w:rsidR="00EA33DE" w:rsidRPr="00A4327E">
        <w:rPr>
          <w:b/>
          <w:bCs/>
          <w:shd w:val="clear" w:color="auto" w:fill="FFFFFF"/>
          <w:lang w:val="lv-LV"/>
        </w:rPr>
        <w:t>Daugavpils pilsētas pašvaldības saistošie noteikumi par nodevām</w:t>
      </w:r>
      <w:r w:rsidR="00EA33DE" w:rsidRPr="00A4327E">
        <w:rPr>
          <w:b/>
          <w:bCs/>
          <w:lang w:val="lv-LV"/>
        </w:rPr>
        <w:t>”</w:t>
      </w:r>
      <w:r w:rsidR="00B25240" w:rsidRPr="00480282">
        <w:rPr>
          <w:b/>
          <w:bCs/>
          <w:lang w:val="lv-LV"/>
        </w:rPr>
        <w:t>”</w:t>
      </w:r>
      <w:r w:rsidRPr="00480282">
        <w:rPr>
          <w:b/>
          <w:bCs/>
          <w:lang w:val="lv-LV"/>
        </w:rPr>
        <w:t xml:space="preserve"> </w:t>
      </w:r>
      <w:r w:rsidR="007A1009" w:rsidRPr="00480282">
        <w:rPr>
          <w:b/>
          <w:lang w:val="lv-LV"/>
        </w:rPr>
        <w:t>paskaidrojuma raksts</w:t>
      </w:r>
    </w:p>
    <w:p w:rsidR="007A1009" w:rsidRPr="00480282" w:rsidRDefault="007A1009" w:rsidP="007A1009">
      <w:pPr>
        <w:jc w:val="center"/>
        <w:outlineLvl w:val="3"/>
        <w:rPr>
          <w:b/>
          <w:bCs/>
          <w:lang w:val="lv-LV" w:eastAsia="lv-LV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16"/>
        <w:gridCol w:w="5637"/>
      </w:tblGrid>
      <w:tr w:rsidR="007A1009" w:rsidRPr="00480282">
        <w:trPr>
          <w:cantSplit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09" w:rsidRPr="00480282" w:rsidRDefault="007A1009" w:rsidP="00BF3844">
            <w:pPr>
              <w:pStyle w:val="naiskr"/>
              <w:spacing w:before="120" w:after="120"/>
              <w:jc w:val="center"/>
              <w:rPr>
                <w:b/>
              </w:rPr>
            </w:pPr>
            <w:r w:rsidRPr="00480282">
              <w:rPr>
                <w:b/>
              </w:rPr>
              <w:t>Paskaidrojuma raksta sadaļas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009" w:rsidRPr="00480282" w:rsidRDefault="007A1009" w:rsidP="00BF3844">
            <w:pPr>
              <w:pStyle w:val="naisnod"/>
              <w:spacing w:before="0" w:after="0"/>
              <w:rPr>
                <w:lang w:eastAsia="en-US"/>
              </w:rPr>
            </w:pPr>
            <w:r w:rsidRPr="00480282">
              <w:rPr>
                <w:lang w:eastAsia="en-US"/>
              </w:rPr>
              <w:t>Norādāmā informācija</w:t>
            </w:r>
          </w:p>
        </w:tc>
      </w:tr>
      <w:tr w:rsidR="003B3BF4" w:rsidRPr="009576DF">
        <w:trPr>
          <w:cantSplit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F4" w:rsidRPr="00480282" w:rsidRDefault="003B3BF4" w:rsidP="00BF3844">
            <w:pPr>
              <w:pStyle w:val="naiskr"/>
              <w:spacing w:before="120" w:after="120"/>
              <w:rPr>
                <w:bCs/>
              </w:rPr>
            </w:pPr>
            <w:r w:rsidRPr="00480282">
              <w:rPr>
                <w:bCs/>
              </w:rPr>
              <w:t>1. Projekta nepieciešamības pamatojums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716" w:rsidRPr="00EA33DE" w:rsidRDefault="00EA33DE" w:rsidP="00B85D42">
            <w:pPr>
              <w:ind w:firstLine="365"/>
              <w:jc w:val="both"/>
              <w:rPr>
                <w:lang w:val="lv-LV"/>
              </w:rPr>
            </w:pPr>
            <w:r>
              <w:rPr>
                <w:lang w:val="lv-LV"/>
              </w:rPr>
              <w:t>Pamatojoties uz</w:t>
            </w:r>
            <w:r w:rsidRPr="00EA33DE">
              <w:rPr>
                <w:lang w:val="lv-LV"/>
              </w:rPr>
              <w:t xml:space="preserve"> Ministru kabineta 2005.gada 28.jūnija noteikumu Nr.480 „</w:t>
            </w:r>
            <w:r w:rsidRPr="00EA33DE">
              <w:rPr>
                <w:bCs/>
                <w:lang w:val="lv-LV"/>
              </w:rPr>
              <w:t>Noteikumi par kārtību, kādā pašvaldības var uzlikt pašvaldību nodevas” 16.</w:t>
            </w:r>
            <w:r w:rsidRPr="00EA33DE">
              <w:rPr>
                <w:bCs/>
                <w:vertAlign w:val="superscript"/>
                <w:lang w:val="lv-LV"/>
              </w:rPr>
              <w:t>1</w:t>
            </w:r>
            <w:r w:rsidRPr="00EA33DE">
              <w:rPr>
                <w:bCs/>
                <w:lang w:val="lv-LV"/>
              </w:rPr>
              <w:t xml:space="preserve"> punktu</w:t>
            </w:r>
            <w:r>
              <w:rPr>
                <w:bCs/>
                <w:lang w:val="lv-LV"/>
              </w:rPr>
              <w:t xml:space="preserve"> un ņemot vērā Daugavpils pilsētas pašvaldības tūrisma attīstības un informācijas aģentūras priekšlikumu, saistošajos noteikumos ir nepieciešams noteikt, ka no </w:t>
            </w:r>
            <w:r w:rsidRPr="00EA33DE">
              <w:rPr>
                <w:bCs/>
                <w:lang w:val="lv-LV"/>
              </w:rPr>
              <w:t>nodev</w:t>
            </w:r>
            <w:r>
              <w:rPr>
                <w:bCs/>
                <w:lang w:val="lv-LV"/>
              </w:rPr>
              <w:t>as samaksas</w:t>
            </w:r>
            <w:r w:rsidRPr="00EA33DE">
              <w:rPr>
                <w:bCs/>
                <w:lang w:val="lv-LV"/>
              </w:rPr>
              <w:t xml:space="preserve"> par tirdzniecību publiskās vietās atbrīvojamas </w:t>
            </w:r>
            <w:r>
              <w:rPr>
                <w:bCs/>
                <w:lang w:val="lv-LV"/>
              </w:rPr>
              <w:t>pašvaldības iestādes, kuras darbojas tūrisma jomā</w:t>
            </w:r>
            <w:r w:rsidR="008F0727">
              <w:rPr>
                <w:bCs/>
                <w:lang w:val="lv-LV"/>
              </w:rPr>
              <w:t>,</w:t>
            </w:r>
            <w:r w:rsidR="002469F4">
              <w:rPr>
                <w:bCs/>
                <w:lang w:val="lv-LV"/>
              </w:rPr>
              <w:t xml:space="preserve"> un </w:t>
            </w:r>
            <w:r w:rsidR="002469F4">
              <w:rPr>
                <w:shd w:val="clear" w:color="auto" w:fill="FFFFFF"/>
                <w:lang w:val="lv-LV"/>
              </w:rPr>
              <w:t>sabiedriskā labuma organizācijas (biedrības vai nodibinājumi), kuru darbības mērķis vērsts uz atbalsta sniegšanu personām ar invaliditāti</w:t>
            </w:r>
            <w:r w:rsidRPr="00EA33DE">
              <w:rPr>
                <w:bCs/>
                <w:lang w:val="lv-LV"/>
              </w:rPr>
              <w:t>.</w:t>
            </w:r>
          </w:p>
        </w:tc>
      </w:tr>
      <w:tr w:rsidR="00F104C0" w:rsidRPr="009576DF">
        <w:trPr>
          <w:cantSplit/>
          <w:trHeight w:val="103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C0" w:rsidRPr="00480282" w:rsidRDefault="00F104C0" w:rsidP="00F104C0">
            <w:pPr>
              <w:pStyle w:val="naiskr"/>
              <w:spacing w:before="120" w:after="120"/>
              <w:rPr>
                <w:bCs/>
              </w:rPr>
            </w:pPr>
            <w:r w:rsidRPr="00480282">
              <w:t xml:space="preserve"> </w:t>
            </w:r>
            <w:r w:rsidRPr="00480282">
              <w:rPr>
                <w:bCs/>
              </w:rPr>
              <w:t>2. Īss projekta satura izklāsts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4C0" w:rsidRPr="00EA33DE" w:rsidRDefault="00EA33DE" w:rsidP="00B806E1">
            <w:pPr>
              <w:ind w:firstLine="365"/>
              <w:jc w:val="both"/>
              <w:rPr>
                <w:bCs/>
                <w:lang w:val="lv-LV"/>
              </w:rPr>
            </w:pPr>
            <w:r w:rsidRPr="00EA33DE">
              <w:rPr>
                <w:bCs/>
                <w:lang w:val="lv-LV"/>
              </w:rPr>
              <w:t xml:space="preserve">Ar grozījumu 4.2.punkts tiek izteikts jaunā redakcijā, </w:t>
            </w:r>
            <w:r>
              <w:rPr>
                <w:bCs/>
                <w:lang w:val="lv-LV"/>
              </w:rPr>
              <w:t>precizējot</w:t>
            </w:r>
            <w:r w:rsidRPr="00EA33DE">
              <w:rPr>
                <w:bCs/>
                <w:lang w:val="lv-LV"/>
              </w:rPr>
              <w:t xml:space="preserve"> personas, kuras atbrīvojamas no nodevām par tirdzniecību publiskās vietās.</w:t>
            </w:r>
          </w:p>
        </w:tc>
      </w:tr>
      <w:tr w:rsidR="007A1009" w:rsidRPr="009576DF">
        <w:trPr>
          <w:cantSplit/>
          <w:trHeight w:val="786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09" w:rsidRPr="00480282" w:rsidRDefault="007A1009" w:rsidP="00B1449D">
            <w:pPr>
              <w:pStyle w:val="naisf"/>
              <w:spacing w:before="0" w:beforeAutospacing="0" w:after="0" w:afterAutospacing="0"/>
              <w:jc w:val="left"/>
              <w:rPr>
                <w:rFonts w:eastAsia="Times New Roman"/>
                <w:bCs/>
                <w:lang w:val="lv-LV"/>
              </w:rPr>
            </w:pPr>
            <w:r w:rsidRPr="00480282">
              <w:rPr>
                <w:rFonts w:eastAsia="Times New Roman"/>
                <w:bCs/>
                <w:lang w:val="lv-LV"/>
              </w:rPr>
              <w:t>3. Informācija par plānoto projekta ietekmi uz pašvaldības budžetu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009" w:rsidRPr="00EA33DE" w:rsidRDefault="00EA33DE" w:rsidP="00B1449D">
            <w:pPr>
              <w:pStyle w:val="naisnod"/>
              <w:spacing w:before="0" w:after="0"/>
              <w:jc w:val="both"/>
              <w:rPr>
                <w:b w:val="0"/>
                <w:bCs w:val="0"/>
                <w:lang w:eastAsia="en-US"/>
              </w:rPr>
            </w:pPr>
            <w:r w:rsidRPr="00EA33DE">
              <w:rPr>
                <w:b w:val="0"/>
              </w:rPr>
              <w:t>Atbilstoši likuma „Par pašvaldībām” 43.</w:t>
            </w:r>
            <w:r w:rsidRPr="00EA33DE">
              <w:rPr>
                <w:b w:val="0"/>
                <w:vertAlign w:val="superscript"/>
              </w:rPr>
              <w:t>1</w:t>
            </w:r>
            <w:r w:rsidRPr="00EA33DE">
              <w:rPr>
                <w:b w:val="0"/>
              </w:rPr>
              <w:t xml:space="preserve"> panta otrajai daļai, informācija par plānoto projekta ietekmi uz pašvaldības budžetu netiek iekļauta.</w:t>
            </w:r>
          </w:p>
        </w:tc>
      </w:tr>
      <w:tr w:rsidR="007A1009" w:rsidRPr="00480282">
        <w:trPr>
          <w:cantSplit/>
          <w:trHeight w:val="1009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09" w:rsidRPr="00480282" w:rsidRDefault="007A1009" w:rsidP="00B1449D">
            <w:pPr>
              <w:rPr>
                <w:bCs/>
                <w:lang w:val="lv-LV"/>
              </w:rPr>
            </w:pPr>
            <w:r w:rsidRPr="00480282">
              <w:rPr>
                <w:bCs/>
                <w:lang w:val="lv-LV"/>
              </w:rPr>
              <w:t>4. Informācija par plānoto projekta ietekmi uz uzņēmējdarbības vidi pašvaldības teritorijā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009" w:rsidRPr="00EA33DE" w:rsidRDefault="00642EF3" w:rsidP="00B1449D">
            <w:pPr>
              <w:pStyle w:val="naisnod"/>
              <w:spacing w:before="0" w:after="0"/>
              <w:jc w:val="both"/>
              <w:rPr>
                <w:b w:val="0"/>
                <w:bCs w:val="0"/>
                <w:lang w:eastAsia="en-US"/>
              </w:rPr>
            </w:pPr>
            <w:r w:rsidRPr="00EA33DE">
              <w:rPr>
                <w:b w:val="0"/>
                <w:bCs w:val="0"/>
              </w:rPr>
              <w:t>Netieša ietekme.</w:t>
            </w:r>
          </w:p>
        </w:tc>
      </w:tr>
      <w:tr w:rsidR="007A1009" w:rsidRPr="00480282">
        <w:trPr>
          <w:cantSplit/>
          <w:trHeight w:val="704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09" w:rsidRPr="00480282" w:rsidRDefault="007A1009" w:rsidP="00B1449D">
            <w:pPr>
              <w:rPr>
                <w:bCs/>
                <w:lang w:val="lv-LV"/>
              </w:rPr>
            </w:pPr>
            <w:r w:rsidRPr="00480282">
              <w:rPr>
                <w:bCs/>
                <w:lang w:val="lv-LV"/>
              </w:rPr>
              <w:t>5. Informācija par administratīvajām procedūrām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009" w:rsidRPr="00EA33DE" w:rsidRDefault="00143022" w:rsidP="006F05C2">
            <w:pPr>
              <w:pStyle w:val="naisnod"/>
              <w:spacing w:before="0" w:after="0"/>
              <w:jc w:val="both"/>
              <w:rPr>
                <w:b w:val="0"/>
                <w:bCs w:val="0"/>
                <w:lang w:eastAsia="en-US"/>
              </w:rPr>
            </w:pPr>
            <w:r w:rsidRPr="00EA33DE">
              <w:rPr>
                <w:b w:val="0"/>
                <w:bCs w:val="0"/>
              </w:rPr>
              <w:t>Administratīvās procedūras netiek mainītas</w:t>
            </w:r>
            <w:r w:rsidR="007C208B" w:rsidRPr="00EA33DE">
              <w:rPr>
                <w:b w:val="0"/>
                <w:bCs w:val="0"/>
              </w:rPr>
              <w:t xml:space="preserve">. </w:t>
            </w:r>
          </w:p>
        </w:tc>
      </w:tr>
      <w:tr w:rsidR="007A1009" w:rsidRPr="00480282">
        <w:trPr>
          <w:cantSplit/>
          <w:trHeight w:val="672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09" w:rsidRPr="00480282" w:rsidRDefault="007A1009" w:rsidP="00867F5E">
            <w:pPr>
              <w:rPr>
                <w:bCs/>
                <w:lang w:val="lv-LV"/>
              </w:rPr>
            </w:pPr>
            <w:r w:rsidRPr="00480282">
              <w:rPr>
                <w:bCs/>
                <w:lang w:val="lv-LV"/>
              </w:rPr>
              <w:t>6. Informācija par konsultācijām ar privātpersonām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009" w:rsidRPr="00EA33DE" w:rsidRDefault="00C57F94" w:rsidP="00867F5E">
            <w:pPr>
              <w:pStyle w:val="naisnod"/>
              <w:spacing w:before="0" w:after="0"/>
              <w:jc w:val="both"/>
              <w:rPr>
                <w:b w:val="0"/>
                <w:bCs w:val="0"/>
                <w:lang w:eastAsia="en-US"/>
              </w:rPr>
            </w:pPr>
            <w:r w:rsidRPr="00EA33DE">
              <w:rPr>
                <w:b w:val="0"/>
                <w:bCs w:val="0"/>
              </w:rPr>
              <w:t>Konsultācijas notika ar atbildīgajiem speciālistiem.</w:t>
            </w:r>
          </w:p>
        </w:tc>
      </w:tr>
    </w:tbl>
    <w:p w:rsidR="00867F5E" w:rsidRDefault="00867F5E" w:rsidP="003F21D1">
      <w:pPr>
        <w:jc w:val="both"/>
        <w:rPr>
          <w:lang w:val="lv-LV" w:eastAsia="lv-LV"/>
        </w:rPr>
      </w:pPr>
    </w:p>
    <w:p w:rsidR="003F21D1" w:rsidRPr="00480282" w:rsidRDefault="003F21D1" w:rsidP="003F21D1">
      <w:pPr>
        <w:jc w:val="both"/>
        <w:rPr>
          <w:lang w:val="lv-LV" w:eastAsia="lv-LV"/>
        </w:rPr>
      </w:pPr>
    </w:p>
    <w:p w:rsidR="00445740" w:rsidRPr="00480282" w:rsidRDefault="007A1009" w:rsidP="003F21D1">
      <w:pPr>
        <w:jc w:val="both"/>
        <w:rPr>
          <w:lang w:val="lv-LV"/>
        </w:rPr>
      </w:pPr>
      <w:r w:rsidRPr="00480282">
        <w:rPr>
          <w:lang w:val="lv-LV" w:eastAsia="lv-LV"/>
        </w:rPr>
        <w:t>Daugavpils pilsētas domes priekšsēdē</w:t>
      </w:r>
      <w:r w:rsidR="00311150" w:rsidRPr="00480282">
        <w:rPr>
          <w:lang w:val="lv-LV" w:eastAsia="lv-LV"/>
        </w:rPr>
        <w:t>tājs</w:t>
      </w:r>
      <w:r w:rsidRPr="00480282">
        <w:rPr>
          <w:lang w:val="lv-LV" w:eastAsia="lv-LV"/>
        </w:rPr>
        <w:tab/>
      </w:r>
      <w:r w:rsidRPr="00480282">
        <w:rPr>
          <w:lang w:val="lv-LV" w:eastAsia="lv-LV"/>
        </w:rPr>
        <w:tab/>
      </w:r>
      <w:r w:rsidRPr="00480282">
        <w:rPr>
          <w:lang w:val="lv-LV" w:eastAsia="lv-LV"/>
        </w:rPr>
        <w:tab/>
      </w:r>
      <w:r w:rsidRPr="00480282">
        <w:rPr>
          <w:lang w:val="lv-LV" w:eastAsia="lv-LV"/>
        </w:rPr>
        <w:tab/>
      </w:r>
      <w:r w:rsidRPr="00480282">
        <w:rPr>
          <w:lang w:val="lv-LV" w:eastAsia="lv-LV"/>
        </w:rPr>
        <w:tab/>
      </w:r>
      <w:r w:rsidR="00AD4533">
        <w:rPr>
          <w:lang w:val="lv-LV" w:eastAsia="lv-LV"/>
        </w:rPr>
        <w:t>I.Prelatovs</w:t>
      </w:r>
    </w:p>
    <w:p w:rsidR="00445740" w:rsidRDefault="00445740" w:rsidP="003F21D1">
      <w:pPr>
        <w:rPr>
          <w:lang w:val="lv-LV"/>
        </w:rPr>
      </w:pPr>
    </w:p>
    <w:p w:rsidR="009576DF" w:rsidRDefault="009576DF" w:rsidP="003F21D1">
      <w:pPr>
        <w:rPr>
          <w:lang w:val="lv-LV"/>
        </w:rPr>
      </w:pPr>
    </w:p>
    <w:p w:rsidR="009576DF" w:rsidRDefault="009576DF" w:rsidP="003F21D1">
      <w:pPr>
        <w:rPr>
          <w:lang w:val="lv-LV"/>
        </w:rPr>
      </w:pPr>
      <w:bookmarkStart w:id="0" w:name="_GoBack"/>
      <w:bookmarkEnd w:id="0"/>
    </w:p>
    <w:p w:rsidR="009576DF" w:rsidRPr="009576DF" w:rsidRDefault="009576DF" w:rsidP="009576DF">
      <w:pPr>
        <w:spacing w:before="100" w:beforeAutospacing="1" w:after="100" w:afterAutospacing="1"/>
        <w:jc w:val="both"/>
        <w:outlineLvl w:val="2"/>
        <w:rPr>
          <w:bCs/>
          <w:i/>
          <w:sz w:val="22"/>
          <w:szCs w:val="22"/>
          <w:lang w:val="lv-LV" w:eastAsia="x-none"/>
        </w:rPr>
      </w:pPr>
      <w:r w:rsidRPr="009576DF">
        <w:rPr>
          <w:bCs/>
          <w:i/>
          <w:sz w:val="22"/>
          <w:szCs w:val="22"/>
          <w:lang w:val="lv-LV" w:eastAsia="x-none"/>
        </w:rPr>
        <w:t>Dokuments ir parakstīts ar drošu elektronisko parakstu un satur laika zīmogu</w:t>
      </w:r>
    </w:p>
    <w:p w:rsidR="009576DF" w:rsidRPr="00480282" w:rsidRDefault="009576DF" w:rsidP="003F21D1">
      <w:pPr>
        <w:rPr>
          <w:lang w:val="lv-LV"/>
        </w:rPr>
      </w:pPr>
    </w:p>
    <w:sectPr w:rsidR="009576DF" w:rsidRPr="00480282" w:rsidSect="003F21D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F4E49"/>
    <w:multiLevelType w:val="hybridMultilevel"/>
    <w:tmpl w:val="35C2CE8A"/>
    <w:lvl w:ilvl="0" w:tplc="4348AEF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AC1815"/>
    <w:multiLevelType w:val="hybridMultilevel"/>
    <w:tmpl w:val="393E7ED0"/>
    <w:lvl w:ilvl="0" w:tplc="D374A284">
      <w:start w:val="2"/>
      <w:numFmt w:val="bullet"/>
      <w:lvlText w:val="-"/>
      <w:lvlJc w:val="left"/>
      <w:pPr>
        <w:ind w:left="72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" w15:restartNumberingAfterBreak="0">
    <w:nsid w:val="22432FD4"/>
    <w:multiLevelType w:val="hybridMultilevel"/>
    <w:tmpl w:val="E7DC6744"/>
    <w:lvl w:ilvl="0" w:tplc="EA1A892C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68707E"/>
    <w:multiLevelType w:val="hybridMultilevel"/>
    <w:tmpl w:val="B128FE1A"/>
    <w:lvl w:ilvl="0" w:tplc="0426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5C7B1634"/>
    <w:multiLevelType w:val="hybridMultilevel"/>
    <w:tmpl w:val="DBDE8DD2"/>
    <w:lvl w:ilvl="0" w:tplc="D5329C68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EE8"/>
    <w:rsid w:val="0002674C"/>
    <w:rsid w:val="00030562"/>
    <w:rsid w:val="000359FF"/>
    <w:rsid w:val="000402CC"/>
    <w:rsid w:val="000518EB"/>
    <w:rsid w:val="0006202F"/>
    <w:rsid w:val="000653AB"/>
    <w:rsid w:val="00071CCB"/>
    <w:rsid w:val="00091AC4"/>
    <w:rsid w:val="00095B9B"/>
    <w:rsid w:val="000A52C5"/>
    <w:rsid w:val="000A7C24"/>
    <w:rsid w:val="000B7B06"/>
    <w:rsid w:val="000C2460"/>
    <w:rsid w:val="000C6296"/>
    <w:rsid w:val="000D647A"/>
    <w:rsid w:val="001045C8"/>
    <w:rsid w:val="00127C3E"/>
    <w:rsid w:val="001347A5"/>
    <w:rsid w:val="00143022"/>
    <w:rsid w:val="0014503A"/>
    <w:rsid w:val="00152631"/>
    <w:rsid w:val="00155F35"/>
    <w:rsid w:val="001706D6"/>
    <w:rsid w:val="001860F6"/>
    <w:rsid w:val="0018637D"/>
    <w:rsid w:val="001C233A"/>
    <w:rsid w:val="001D6491"/>
    <w:rsid w:val="00203D4E"/>
    <w:rsid w:val="00205251"/>
    <w:rsid w:val="002469F4"/>
    <w:rsid w:val="00283836"/>
    <w:rsid w:val="00291309"/>
    <w:rsid w:val="002B185C"/>
    <w:rsid w:val="002B1F1B"/>
    <w:rsid w:val="002C05A9"/>
    <w:rsid w:val="002D7729"/>
    <w:rsid w:val="00311150"/>
    <w:rsid w:val="003206EF"/>
    <w:rsid w:val="003303CB"/>
    <w:rsid w:val="0035095D"/>
    <w:rsid w:val="003546D8"/>
    <w:rsid w:val="00357044"/>
    <w:rsid w:val="00361890"/>
    <w:rsid w:val="00376BA9"/>
    <w:rsid w:val="00386948"/>
    <w:rsid w:val="003B3BF4"/>
    <w:rsid w:val="003B7C01"/>
    <w:rsid w:val="003C410F"/>
    <w:rsid w:val="003D4D54"/>
    <w:rsid w:val="003E2FBC"/>
    <w:rsid w:val="003E4BA9"/>
    <w:rsid w:val="003F21D1"/>
    <w:rsid w:val="00404EF0"/>
    <w:rsid w:val="0042651E"/>
    <w:rsid w:val="00445740"/>
    <w:rsid w:val="00474ED8"/>
    <w:rsid w:val="00480282"/>
    <w:rsid w:val="00480716"/>
    <w:rsid w:val="00490CC8"/>
    <w:rsid w:val="004D569C"/>
    <w:rsid w:val="004E1DC9"/>
    <w:rsid w:val="0052055D"/>
    <w:rsid w:val="005F504F"/>
    <w:rsid w:val="00642EF3"/>
    <w:rsid w:val="006B7AA9"/>
    <w:rsid w:val="006C0802"/>
    <w:rsid w:val="006F0462"/>
    <w:rsid w:val="006F05C2"/>
    <w:rsid w:val="007259B6"/>
    <w:rsid w:val="00780F88"/>
    <w:rsid w:val="007A1009"/>
    <w:rsid w:val="007C208B"/>
    <w:rsid w:val="0082014A"/>
    <w:rsid w:val="00867F5E"/>
    <w:rsid w:val="00897F5D"/>
    <w:rsid w:val="008A7AC9"/>
    <w:rsid w:val="008C108D"/>
    <w:rsid w:val="008F0727"/>
    <w:rsid w:val="008F75A7"/>
    <w:rsid w:val="009576DF"/>
    <w:rsid w:val="009B1909"/>
    <w:rsid w:val="009C441D"/>
    <w:rsid w:val="009F0C80"/>
    <w:rsid w:val="00A625F5"/>
    <w:rsid w:val="00A64306"/>
    <w:rsid w:val="00A832A6"/>
    <w:rsid w:val="00A866BF"/>
    <w:rsid w:val="00AB1C9F"/>
    <w:rsid w:val="00AD4533"/>
    <w:rsid w:val="00AF3232"/>
    <w:rsid w:val="00B050B8"/>
    <w:rsid w:val="00B1449D"/>
    <w:rsid w:val="00B17D67"/>
    <w:rsid w:val="00B25240"/>
    <w:rsid w:val="00B37A05"/>
    <w:rsid w:val="00B5319A"/>
    <w:rsid w:val="00B806E1"/>
    <w:rsid w:val="00B85D42"/>
    <w:rsid w:val="00BD3203"/>
    <w:rsid w:val="00BE2217"/>
    <w:rsid w:val="00BE7F07"/>
    <w:rsid w:val="00BF3844"/>
    <w:rsid w:val="00BF73F6"/>
    <w:rsid w:val="00C239BF"/>
    <w:rsid w:val="00C245C7"/>
    <w:rsid w:val="00C57F94"/>
    <w:rsid w:val="00C95F5C"/>
    <w:rsid w:val="00CC2003"/>
    <w:rsid w:val="00CD48AD"/>
    <w:rsid w:val="00CD72A2"/>
    <w:rsid w:val="00CE073C"/>
    <w:rsid w:val="00CE1D71"/>
    <w:rsid w:val="00CE2A23"/>
    <w:rsid w:val="00D51EE8"/>
    <w:rsid w:val="00D853B7"/>
    <w:rsid w:val="00DC2A7C"/>
    <w:rsid w:val="00DD5487"/>
    <w:rsid w:val="00DF0284"/>
    <w:rsid w:val="00E66C9B"/>
    <w:rsid w:val="00E71379"/>
    <w:rsid w:val="00E93AF9"/>
    <w:rsid w:val="00EA2856"/>
    <w:rsid w:val="00EA2FBE"/>
    <w:rsid w:val="00EA33DE"/>
    <w:rsid w:val="00EA66AD"/>
    <w:rsid w:val="00EB26FC"/>
    <w:rsid w:val="00EC62A1"/>
    <w:rsid w:val="00ED21E4"/>
    <w:rsid w:val="00F02217"/>
    <w:rsid w:val="00F104C0"/>
    <w:rsid w:val="00F32D1E"/>
    <w:rsid w:val="00F53C60"/>
    <w:rsid w:val="00F6695B"/>
    <w:rsid w:val="00F84302"/>
    <w:rsid w:val="00F918D9"/>
    <w:rsid w:val="00FB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FCB403F-EF73-42D6-BCD9-8D4902F3B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009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jc w:val="center"/>
    </w:pPr>
    <w:rPr>
      <w:sz w:val="28"/>
      <w:lang w:val="lv-LV"/>
    </w:rPr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eastAsia="Arial Unicode MS"/>
    </w:rPr>
  </w:style>
  <w:style w:type="paragraph" w:customStyle="1" w:styleId="naisnod">
    <w:name w:val="naisnod"/>
    <w:basedOn w:val="Normal"/>
    <w:pPr>
      <w:spacing w:before="150" w:after="150"/>
      <w:jc w:val="center"/>
    </w:pPr>
    <w:rPr>
      <w:b/>
      <w:bCs/>
      <w:lang w:val="lv-LV" w:eastAsia="lv-LV"/>
    </w:rPr>
  </w:style>
  <w:style w:type="paragraph" w:customStyle="1" w:styleId="naiskr">
    <w:name w:val="naiskr"/>
    <w:basedOn w:val="Normal"/>
    <w:pPr>
      <w:spacing w:before="75" w:after="75"/>
    </w:pPr>
    <w:rPr>
      <w:lang w:val="lv-LV" w:eastAsia="lv-LV"/>
    </w:rPr>
  </w:style>
  <w:style w:type="paragraph" w:styleId="BodyTextIndent2">
    <w:name w:val="Body Text Indent 2"/>
    <w:basedOn w:val="Normal"/>
    <w:pPr>
      <w:ind w:firstLine="540"/>
      <w:jc w:val="both"/>
    </w:pPr>
    <w:rPr>
      <w:sz w:val="22"/>
      <w:lang w:val="lv-LV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alloonText">
    <w:name w:val="Balloon Text"/>
    <w:basedOn w:val="Normal"/>
    <w:semiHidden/>
    <w:rsid w:val="00D853B7"/>
    <w:rPr>
      <w:rFonts w:ascii="Tahoma" w:hAnsi="Tahoma" w:cs="Tahoma"/>
      <w:sz w:val="16"/>
      <w:szCs w:val="16"/>
    </w:rPr>
  </w:style>
  <w:style w:type="paragraph" w:customStyle="1" w:styleId="tv213">
    <w:name w:val="tv213"/>
    <w:basedOn w:val="Normal"/>
    <w:rsid w:val="00B806E1"/>
    <w:pPr>
      <w:spacing w:before="100" w:beforeAutospacing="1" w:after="100" w:afterAutospacing="1"/>
    </w:pPr>
    <w:rPr>
      <w:lang w:val="en-US"/>
    </w:rPr>
  </w:style>
  <w:style w:type="paragraph" w:customStyle="1" w:styleId="tv2132">
    <w:name w:val="tv2132"/>
    <w:basedOn w:val="Normal"/>
    <w:rsid w:val="00480716"/>
    <w:pPr>
      <w:spacing w:line="360" w:lineRule="auto"/>
      <w:ind w:firstLine="300"/>
    </w:pPr>
    <w:rPr>
      <w:color w:val="414142"/>
      <w:sz w:val="20"/>
      <w:szCs w:val="20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8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1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2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29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42473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66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870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434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E6E6E6"/>
                                                <w:bottom w:val="none" w:sz="0" w:space="0" w:color="auto"/>
                                                <w:right w:val="single" w:sz="6" w:space="0" w:color="E6E6E6"/>
                                              </w:divBdr>
                                              <w:divsChild>
                                                <w:div w:id="896934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324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738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636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554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6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1112</Words>
  <Characters>634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Daugavpils pilsētas domes 2012</vt:lpstr>
      <vt:lpstr>Daugavpils pilsētas domes 2012</vt:lpstr>
    </vt:vector>
  </TitlesOfParts>
  <Company>pd</Company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Daugavpils pilsētas domes 2012</dc:title>
  <dc:subject/>
  <dc:creator>marina</dc:creator>
  <cp:keywords/>
  <dc:description/>
  <cp:lastModifiedBy>Inesa Sindina</cp:lastModifiedBy>
  <cp:revision>3</cp:revision>
  <cp:lastPrinted>2021-06-11T05:41:00Z</cp:lastPrinted>
  <dcterms:created xsi:type="dcterms:W3CDTF">2021-06-11T05:48:00Z</dcterms:created>
  <dcterms:modified xsi:type="dcterms:W3CDTF">2021-06-11T05:48:00Z</dcterms:modified>
</cp:coreProperties>
</file>