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D3" w:rsidRPr="00EB60C4" w:rsidRDefault="009245D3" w:rsidP="009245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60C4">
        <w:rPr>
          <w:rFonts w:ascii="Times New Roman" w:hAnsi="Times New Roman"/>
          <w:b/>
          <w:sz w:val="24"/>
          <w:szCs w:val="24"/>
        </w:rPr>
        <w:t>Daugavpils pilsēt</w:t>
      </w:r>
      <w:r>
        <w:rPr>
          <w:rFonts w:ascii="Times New Roman" w:hAnsi="Times New Roman"/>
          <w:b/>
          <w:sz w:val="24"/>
          <w:szCs w:val="24"/>
        </w:rPr>
        <w:t xml:space="preserve">as domes 2021.gada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18.februara </w:t>
      </w:r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saistoš</w:t>
      </w:r>
      <w:r>
        <w:rPr>
          <w:rFonts w:ascii="Times New Roman" w:hAnsi="Times New Roman"/>
          <w:b/>
          <w:sz w:val="24"/>
          <w:szCs w:val="24"/>
        </w:rPr>
        <w:t>o</w:t>
      </w:r>
      <w:proofErr w:type="spellEnd"/>
      <w:proofErr w:type="gram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noteikum</w:t>
      </w:r>
      <w:r>
        <w:rPr>
          <w:rFonts w:ascii="Times New Roman" w:hAnsi="Times New Roman"/>
          <w:b/>
          <w:sz w:val="24"/>
          <w:szCs w:val="24"/>
        </w:rPr>
        <w:t>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Nr.12</w:t>
      </w:r>
    </w:p>
    <w:p w:rsidR="009245D3" w:rsidRPr="00EB60C4" w:rsidRDefault="009245D3" w:rsidP="009245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60C4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Grozījumi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Daugavpils pilsētas domes 2016.gada 8.decembra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saistošajos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noteikumos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Nr.46 "Daugavpils pilsētas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pašvaldības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materiālais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atbalsts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mazaizsargātajām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personām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>””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paskaidrojuma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raksts</w:t>
      </w:r>
      <w:proofErr w:type="spellEnd"/>
    </w:p>
    <w:tbl>
      <w:tblPr>
        <w:tblW w:w="9722" w:type="dxa"/>
        <w:tblInd w:w="3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8"/>
        <w:gridCol w:w="6284"/>
      </w:tblGrid>
      <w:tr w:rsidR="009245D3" w:rsidRPr="00EB60C4" w:rsidTr="002F042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EB60C4" w:rsidRDefault="009245D3" w:rsidP="002F04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Paskaidrojuma</w:t>
            </w:r>
            <w:proofErr w:type="spellEnd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raksta</w:t>
            </w:r>
            <w:proofErr w:type="spellEnd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sadaļas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EB60C4" w:rsidRDefault="009245D3" w:rsidP="002F04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Norādāmā</w:t>
            </w:r>
            <w:proofErr w:type="spellEnd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  <w:proofErr w:type="spellEnd"/>
          </w:p>
        </w:tc>
      </w:tr>
      <w:tr w:rsidR="009245D3" w:rsidRPr="00EB60C4" w:rsidTr="002F042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Projekta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nepieciešamības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pamatojums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</w:pP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Sakarā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grozījumiem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> 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 w:rsidRPr="009245D3">
              <w:rPr>
                <w:rFonts w:ascii="Times New Roman" w:hAnsi="Times New Roman"/>
                <w:shd w:val="clear" w:color="auto" w:fill="FFFFFF"/>
              </w:rPr>
              <w:instrText xml:space="preserve"> HYPERLINK "https://likumi.lv/ta/id/68488-socialo-pakalpojumu-un-socialas-palidzibas-likums" \t "_blank" </w:instrText>
            </w:r>
            <w:r w:rsidRPr="009245D3"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 w:rsidRPr="009245D3">
              <w:rPr>
                <w:rFonts w:ascii="Times New Roman" w:hAnsi="Times New Roman"/>
                <w:shd w:val="clear" w:color="auto" w:fill="FFFFFF"/>
              </w:rPr>
              <w:t>Sociālo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pakalpojumu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un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sociālās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palīdzības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likumā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fldChar w:fldCharType="end"/>
            </w:r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2021.gada 1.janvāri 1.pants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tika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papildināts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40.punktu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šādā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redakcijā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>: "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mājsaimniecība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 -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vairākas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personas,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kuras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dzīvo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vienā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mājoklī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un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kopīgi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sedz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izdevumus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viena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persona,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kura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saimnieko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atsevišķi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”,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paredzot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sociālo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palīdzību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klientam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sniedz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izvērtējot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mājsaimniecības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materiālos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resursus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Grozījumi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paredz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visā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tekstā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aizstāt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vārd</w:t>
            </w:r>
            <w:r w:rsidRPr="009245D3">
              <w:rPr>
                <w:rFonts w:ascii="Times New Roman" w:hAnsi="Times New Roman"/>
                <w:shd w:val="clear" w:color="auto" w:fill="FFFFFF"/>
              </w:rPr>
              <w:t>us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“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ģimene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(persona)” (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attiecīgā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locījumā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) 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ar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vārdu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“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mājsaimniecība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” (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attiecīgā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locījumā</w:t>
            </w:r>
            <w:proofErr w:type="spellEnd"/>
            <w:r w:rsidRPr="009245D3">
              <w:rPr>
                <w:rFonts w:ascii="Times New Roman" w:eastAsia="Times New Roman" w:hAnsi="Times New Roman"/>
                <w:shd w:val="clear" w:color="auto" w:fill="FFFFFF"/>
                <w:lang w:eastAsia="lv-LV"/>
              </w:rPr>
              <w:t>).</w:t>
            </w:r>
          </w:p>
          <w:p w:rsidR="009245D3" w:rsidRPr="009245D3" w:rsidRDefault="009245D3" w:rsidP="009245D3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Kopš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2021.gada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sākuma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joprojām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turpinās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Covid-19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infekcijas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izplatība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2021. </w:t>
            </w:r>
            <w:proofErr w:type="spellStart"/>
            <w:proofErr w:type="gramStart"/>
            <w:r w:rsidRPr="009245D3">
              <w:rPr>
                <w:rFonts w:ascii="Times New Roman" w:hAnsi="Times New Roman"/>
                <w:shd w:val="clear" w:color="auto" w:fill="FFFFFF"/>
              </w:rPr>
              <w:t>gada</w:t>
            </w:r>
            <w:proofErr w:type="spellEnd"/>
            <w:proofErr w:type="gram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6. </w:t>
            </w:r>
            <w:proofErr w:type="spellStart"/>
            <w:proofErr w:type="gramStart"/>
            <w:r w:rsidRPr="009245D3">
              <w:rPr>
                <w:rFonts w:ascii="Times New Roman" w:hAnsi="Times New Roman"/>
                <w:shd w:val="clear" w:color="auto" w:fill="FFFFFF"/>
              </w:rPr>
              <w:t>aprīlim</w:t>
            </w:r>
            <w:proofErr w:type="spellEnd"/>
            <w:proofErr w:type="gram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pagarināta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visā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valsts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teritorijā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izsludinātā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ārkārtējā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situācija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Sakarā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saslimstības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pieaugumu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pieaug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arī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izdevumi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par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stacionārā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> 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saņemtajiem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pakalpojumiem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Saskaņā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noteikumu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37.punktu,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tiesības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saņemt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atbalstu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pacienta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līdzmaksājuma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segšanai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kompensēšanai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normatīvajos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aktos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noteiktajā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apmēra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četrām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dienām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dienas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stacionārā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diennakts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stacionārā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pensijas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vecuma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personām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un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personām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invaliditāti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izņemot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gadījumus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ja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pacienta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līdzmaksājums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sedz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no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valsts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budžeta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un 37.</w:t>
            </w:r>
            <w:r w:rsidRPr="009245D3">
              <w:rPr>
                <w:rFonts w:ascii="Times New Roman" w:hAnsi="Times New Roman"/>
                <w:shd w:val="clear" w:color="auto" w:fill="FFFFFF"/>
                <w:vertAlign w:val="superscript"/>
              </w:rPr>
              <w:t>1</w:t>
            </w:r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punktu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-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tiesības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saņemt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atbalstu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pacienta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līdzmaksājuma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segšanai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kompensēšanai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normatīvajos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aktos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noteiktajā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apmērā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četrām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dienām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dienas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stacionārā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diennakts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stacionārā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un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pacienta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līdzmaksājuma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izdevumu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segšanai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par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ģimenes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ārsta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ambulatoru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apmeklējumu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ģimenes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ārsta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mājas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vizīti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un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ārsta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speciālista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apmeklējumu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ir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vispārējās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izglītības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iestāžu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izglītojamiem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kuru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dzīvesvieta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deklarēta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Daugavpils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pilsētā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un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kuri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mācās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klātienē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vecumā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no 18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20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gadiem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izņemot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gadījumus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kad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pacienta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līdzmaksājumi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tiek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segti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no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valsts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budžeta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Grozījumi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paredz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līdzmaksājuma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segšanas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vai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kompensēšanas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dienu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skaitu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palielināt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no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četrām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astoņām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dienām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. </w:t>
            </w:r>
          </w:p>
        </w:tc>
      </w:tr>
      <w:tr w:rsidR="009245D3" w:rsidRPr="00EB60C4" w:rsidTr="002F042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Īss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projekta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satura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izklāsts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9245D3">
              <w:rPr>
                <w:rFonts w:ascii="Times New Roman" w:eastAsia="Times New Roman" w:hAnsi="Times New Roman"/>
              </w:rPr>
              <w:t>Noteikumi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paredz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izdarīt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grozījumu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37. un </w:t>
            </w:r>
            <w:r w:rsidRPr="009245D3">
              <w:rPr>
                <w:rFonts w:ascii="Times New Roman" w:hAnsi="Times New Roman"/>
                <w:shd w:val="clear" w:color="auto" w:fill="FFFFFF"/>
              </w:rPr>
              <w:t>37.</w:t>
            </w:r>
            <w:r w:rsidRPr="009245D3">
              <w:rPr>
                <w:rFonts w:ascii="Times New Roman" w:hAnsi="Times New Roman"/>
                <w:shd w:val="clear" w:color="auto" w:fill="FFFFFF"/>
                <w:vertAlign w:val="superscript"/>
              </w:rPr>
              <w:t>1</w:t>
            </w:r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punktā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>.</w:t>
            </w:r>
          </w:p>
        </w:tc>
      </w:tr>
      <w:tr w:rsidR="009245D3" w:rsidRPr="00EB60C4" w:rsidTr="002F042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Informācija</w:t>
            </w:r>
            <w:proofErr w:type="spellEnd"/>
            <w:r w:rsidRPr="009245D3">
              <w:rPr>
                <w:rFonts w:ascii="Times New Roman" w:hAnsi="Times New Roman"/>
              </w:rPr>
              <w:t xml:space="preserve"> par </w:t>
            </w:r>
            <w:proofErr w:type="spellStart"/>
            <w:r w:rsidRPr="009245D3">
              <w:rPr>
                <w:rFonts w:ascii="Times New Roman" w:hAnsi="Times New Roman"/>
              </w:rPr>
              <w:t>plānoto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projekta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ietekmi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uz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pašvaldības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budžetu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eastAsia="Times New Roman" w:hAnsi="Times New Roman"/>
              </w:rPr>
              <w:t>Noteikumu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izpildei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papildus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būs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nepieciešami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aptuveni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91 800 </w:t>
            </w:r>
            <w:r w:rsidRPr="009245D3">
              <w:rPr>
                <w:rFonts w:ascii="Times New Roman" w:eastAsia="Times New Roman" w:hAnsi="Times New Roman"/>
                <w:i/>
              </w:rPr>
              <w:t>euro</w:t>
            </w:r>
            <w:r w:rsidRPr="009245D3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Atbalstu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varētu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saņems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aptuveni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2295</w:t>
            </w:r>
            <w:r w:rsidRPr="009245D3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proofErr w:type="spellStart"/>
            <w:r w:rsidRPr="009245D3">
              <w:rPr>
                <w:rFonts w:ascii="Times New Roman" w:eastAsia="Times New Roman" w:hAnsi="Times New Roman"/>
              </w:rPr>
              <w:t>iedzīvotāji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, t.sk. 45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vispārējās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izglītības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iestāžu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izglītojamie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kuru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dzīvesvieta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deklarēta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Daugavpils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pilsētā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un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kuri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mācās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klātienē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vecumā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no 18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līdz</w:t>
            </w:r>
            <w:proofErr w:type="spellEnd"/>
            <w:r w:rsidRPr="009245D3">
              <w:rPr>
                <w:rFonts w:ascii="Times New Roman" w:hAnsi="Times New Roman"/>
                <w:shd w:val="clear" w:color="auto" w:fill="FFFFFF"/>
              </w:rPr>
              <w:t xml:space="preserve"> 20 </w:t>
            </w:r>
            <w:proofErr w:type="spellStart"/>
            <w:r w:rsidRPr="009245D3">
              <w:rPr>
                <w:rFonts w:ascii="Times New Roman" w:hAnsi="Times New Roman"/>
                <w:shd w:val="clear" w:color="auto" w:fill="FFFFFF"/>
              </w:rPr>
              <w:t>gadiem</w:t>
            </w:r>
            <w:proofErr w:type="spellEnd"/>
            <w:r w:rsidRPr="009245D3">
              <w:rPr>
                <w:rFonts w:ascii="Times New Roman" w:eastAsia="Times New Roman" w:hAnsi="Times New Roman"/>
              </w:rPr>
              <w:t xml:space="preserve"> .</w:t>
            </w:r>
          </w:p>
        </w:tc>
      </w:tr>
      <w:tr w:rsidR="009245D3" w:rsidRPr="00EB60C4" w:rsidTr="002F042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Informācija</w:t>
            </w:r>
            <w:proofErr w:type="spellEnd"/>
            <w:r w:rsidRPr="009245D3">
              <w:rPr>
                <w:rFonts w:ascii="Times New Roman" w:hAnsi="Times New Roman"/>
              </w:rPr>
              <w:t xml:space="preserve"> par </w:t>
            </w:r>
            <w:proofErr w:type="spellStart"/>
            <w:r w:rsidRPr="009245D3">
              <w:rPr>
                <w:rFonts w:ascii="Times New Roman" w:hAnsi="Times New Roman"/>
              </w:rPr>
              <w:t>plānoto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projekta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ietekmi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uz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uzņēmējdarbības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vidi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pašvaldības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teritorijā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Nav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attiecināms</w:t>
            </w:r>
            <w:proofErr w:type="spellEnd"/>
            <w:r w:rsidRPr="009245D3">
              <w:rPr>
                <w:rFonts w:ascii="Times New Roman" w:hAnsi="Times New Roman"/>
              </w:rPr>
              <w:t>.</w:t>
            </w:r>
          </w:p>
        </w:tc>
      </w:tr>
      <w:tr w:rsidR="009245D3" w:rsidRPr="00EB60C4" w:rsidTr="002F042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Informācija</w:t>
            </w:r>
            <w:proofErr w:type="spellEnd"/>
            <w:r w:rsidRPr="009245D3">
              <w:rPr>
                <w:rFonts w:ascii="Times New Roman" w:hAnsi="Times New Roman"/>
              </w:rPr>
              <w:t xml:space="preserve"> par </w:t>
            </w:r>
            <w:proofErr w:type="spellStart"/>
            <w:r w:rsidRPr="009245D3">
              <w:rPr>
                <w:rFonts w:ascii="Times New Roman" w:hAnsi="Times New Roman"/>
              </w:rPr>
              <w:t>administratīvajām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procedūrām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Netiek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mainītas</w:t>
            </w:r>
            <w:proofErr w:type="spellEnd"/>
            <w:r w:rsidRPr="009245D3">
              <w:rPr>
                <w:rFonts w:ascii="Times New Roman" w:hAnsi="Times New Roman"/>
              </w:rPr>
              <w:t>.</w:t>
            </w:r>
          </w:p>
        </w:tc>
      </w:tr>
      <w:tr w:rsidR="009245D3" w:rsidRPr="00EB60C4" w:rsidTr="002F042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Informācija</w:t>
            </w:r>
            <w:proofErr w:type="spellEnd"/>
            <w:r w:rsidRPr="009245D3">
              <w:rPr>
                <w:rFonts w:ascii="Times New Roman" w:hAnsi="Times New Roman"/>
              </w:rPr>
              <w:t xml:space="preserve"> par </w:t>
            </w:r>
            <w:proofErr w:type="spellStart"/>
            <w:r w:rsidRPr="009245D3">
              <w:rPr>
                <w:rFonts w:ascii="Times New Roman" w:hAnsi="Times New Roman"/>
              </w:rPr>
              <w:t>konsultācijām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ar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privātpersonām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5D3" w:rsidRPr="009245D3" w:rsidRDefault="009245D3" w:rsidP="00924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45D3">
              <w:rPr>
                <w:rFonts w:ascii="Times New Roman" w:hAnsi="Times New Roman"/>
              </w:rPr>
              <w:t>Nav</w:t>
            </w:r>
            <w:proofErr w:type="spellEnd"/>
            <w:r w:rsidRPr="009245D3">
              <w:rPr>
                <w:rFonts w:ascii="Times New Roman" w:hAnsi="Times New Roman"/>
              </w:rPr>
              <w:t xml:space="preserve"> </w:t>
            </w:r>
            <w:proofErr w:type="spellStart"/>
            <w:r w:rsidRPr="009245D3">
              <w:rPr>
                <w:rFonts w:ascii="Times New Roman" w:hAnsi="Times New Roman"/>
              </w:rPr>
              <w:t>attiecināms</w:t>
            </w:r>
            <w:proofErr w:type="spellEnd"/>
            <w:r w:rsidRPr="009245D3">
              <w:rPr>
                <w:rFonts w:ascii="Times New Roman" w:hAnsi="Times New Roman"/>
              </w:rPr>
              <w:t>.</w:t>
            </w:r>
          </w:p>
        </w:tc>
      </w:tr>
    </w:tbl>
    <w:p w:rsidR="009245D3" w:rsidRDefault="009245D3" w:rsidP="009245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245D3" w:rsidRDefault="009245D3" w:rsidP="009245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5D3" w:rsidRPr="00EB60C4" w:rsidRDefault="009245D3" w:rsidP="009245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</w:t>
      </w:r>
      <w:r w:rsidRPr="00EB60C4">
        <w:rPr>
          <w:rFonts w:ascii="Times New Roman" w:hAnsi="Times New Roman"/>
          <w:sz w:val="24"/>
          <w:szCs w:val="24"/>
        </w:rPr>
        <w:t xml:space="preserve">omes </w:t>
      </w:r>
      <w:proofErr w:type="spellStart"/>
      <w:r w:rsidRPr="00EB60C4">
        <w:rPr>
          <w:rFonts w:ascii="Times New Roman" w:hAnsi="Times New Roman"/>
          <w:sz w:val="24"/>
          <w:szCs w:val="24"/>
        </w:rPr>
        <w:t>priekšsēdētājs</w:t>
      </w:r>
      <w:proofErr w:type="spellEnd"/>
      <w:r w:rsidRPr="00EB60C4">
        <w:rPr>
          <w:rFonts w:ascii="Times New Roman" w:hAnsi="Times New Roman"/>
          <w:sz w:val="24"/>
          <w:szCs w:val="24"/>
        </w:rPr>
        <w:t xml:space="preserve">                             </w:t>
      </w:r>
      <w:r w:rsidRPr="00EB60C4">
        <w:rPr>
          <w:rFonts w:ascii="Times New Roman" w:hAnsi="Times New Roman"/>
          <w:sz w:val="24"/>
          <w:szCs w:val="24"/>
        </w:rPr>
        <w:tab/>
      </w:r>
      <w:r w:rsidRPr="00EB60C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B60C4">
        <w:rPr>
          <w:rFonts w:ascii="Times New Roman" w:hAnsi="Times New Roman"/>
          <w:sz w:val="24"/>
          <w:szCs w:val="24"/>
        </w:rPr>
        <w:t>I.Prelatovs</w:t>
      </w:r>
    </w:p>
    <w:p w:rsidR="00870E28" w:rsidRDefault="00AD2205"/>
    <w:p w:rsidR="00AD2205" w:rsidRDefault="00AD2205"/>
    <w:p w:rsidR="00AD2205" w:rsidRDefault="00AD2205" w:rsidP="00AD2205">
      <w:pPr>
        <w:pStyle w:val="Heading3"/>
        <w:jc w:val="both"/>
        <w:rPr>
          <w:b/>
          <w:sz w:val="22"/>
          <w:szCs w:val="22"/>
        </w:rPr>
      </w:pPr>
      <w:bookmarkStart w:id="0" w:name="_GoBack"/>
      <w:bookmarkEnd w:id="0"/>
    </w:p>
    <w:p w:rsidR="00AD2205" w:rsidRDefault="00AD2205" w:rsidP="00AD2205">
      <w:pPr>
        <w:pStyle w:val="Heading3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Dokuments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parakstīts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drošu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elektronisko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parakstu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un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satur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laika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zīmogu</w:t>
      </w:r>
      <w:proofErr w:type="spellEnd"/>
    </w:p>
    <w:p w:rsidR="00AD2205" w:rsidRPr="00AD2205" w:rsidRDefault="00AD2205">
      <w:pPr>
        <w:rPr>
          <w:lang w:val="en-US"/>
        </w:rPr>
      </w:pPr>
    </w:p>
    <w:sectPr w:rsidR="00AD2205" w:rsidRPr="00AD2205" w:rsidSect="003F6BC0">
      <w:pgSz w:w="11906" w:h="16838"/>
      <w:pgMar w:top="1080" w:right="746" w:bottom="851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D3"/>
    <w:rsid w:val="003B1F3C"/>
    <w:rsid w:val="003D287F"/>
    <w:rsid w:val="00412E88"/>
    <w:rsid w:val="007B3DD9"/>
    <w:rsid w:val="009245D3"/>
    <w:rsid w:val="00AD2205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EA044F-EE9A-4CE9-B588-AF6CC386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D3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2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D22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1974</Words>
  <Characters>1126</Characters>
  <Application>Microsoft Office Word</Application>
  <DocSecurity>0</DocSecurity>
  <Lines>9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2</cp:revision>
  <dcterms:created xsi:type="dcterms:W3CDTF">2021-02-19T06:45:00Z</dcterms:created>
  <dcterms:modified xsi:type="dcterms:W3CDTF">2021-02-19T09:41:00Z</dcterms:modified>
</cp:coreProperties>
</file>