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5" w:rsidRDefault="00EB6685" w:rsidP="00EB6685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85" w:rsidRDefault="00EB6685" w:rsidP="00EB668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B6685" w:rsidRDefault="00EB6685" w:rsidP="00EB668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B6685" w:rsidRPr="00EB6685" w:rsidRDefault="00EB6685" w:rsidP="00EB6685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B668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91A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EB6685">
        <w:rPr>
          <w:rFonts w:ascii="Times New Roman" w:hAnsi="Times New Roman" w:cs="Times New Roman"/>
          <w:sz w:val="20"/>
          <w:szCs w:val="20"/>
          <w:lang w:val="en-US"/>
        </w:rPr>
        <w:t xml:space="preserve">Reģ. </w:t>
      </w:r>
      <w:proofErr w:type="spellStart"/>
      <w:r w:rsidRPr="00EB6685">
        <w:rPr>
          <w:rFonts w:ascii="Times New Roman" w:hAnsi="Times New Roman" w:cs="Times New Roman"/>
          <w:sz w:val="20"/>
          <w:szCs w:val="20"/>
          <w:lang w:val="en-US"/>
        </w:rPr>
        <w:t>Nr</w:t>
      </w:r>
      <w:proofErr w:type="spellEnd"/>
      <w:r w:rsidRPr="00EB6685">
        <w:rPr>
          <w:rFonts w:ascii="Times New Roman" w:hAnsi="Times New Roman" w:cs="Times New Roman"/>
          <w:sz w:val="20"/>
          <w:szCs w:val="20"/>
          <w:lang w:val="en-US"/>
        </w:rPr>
        <w:t xml:space="preserve">. 90000077325, K. </w:t>
      </w:r>
      <w:proofErr w:type="spellStart"/>
      <w:r w:rsidRPr="00EB6685">
        <w:rPr>
          <w:rFonts w:ascii="Times New Roman" w:hAnsi="Times New Roman" w:cs="Times New Roman"/>
          <w:sz w:val="20"/>
          <w:szCs w:val="20"/>
          <w:lang w:val="en-US"/>
        </w:rPr>
        <w:t>Valdemāra</w:t>
      </w:r>
      <w:proofErr w:type="spellEnd"/>
      <w:r w:rsidRPr="00EB66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B6685">
        <w:rPr>
          <w:rFonts w:ascii="Times New Roman" w:hAnsi="Times New Roman" w:cs="Times New Roman"/>
          <w:sz w:val="20"/>
          <w:szCs w:val="20"/>
          <w:lang w:val="en-US"/>
        </w:rPr>
        <w:t>iela</w:t>
      </w:r>
      <w:proofErr w:type="spellEnd"/>
      <w:r w:rsidRPr="00EB6685">
        <w:rPr>
          <w:rFonts w:ascii="Times New Roman" w:hAnsi="Times New Roman" w:cs="Times New Roman"/>
          <w:sz w:val="20"/>
          <w:szCs w:val="20"/>
          <w:lang w:val="en-US"/>
        </w:rPr>
        <w:t xml:space="preserve"> 1, Daugavpils, LV-5401, </w:t>
      </w:r>
      <w:proofErr w:type="spellStart"/>
      <w:r w:rsidRPr="00EB6685">
        <w:rPr>
          <w:rFonts w:ascii="Times New Roman" w:hAnsi="Times New Roman" w:cs="Times New Roman"/>
          <w:sz w:val="20"/>
          <w:szCs w:val="20"/>
          <w:lang w:val="en-US"/>
        </w:rPr>
        <w:t>tālr</w:t>
      </w:r>
      <w:proofErr w:type="spellEnd"/>
      <w:r w:rsidRPr="00EB6685">
        <w:rPr>
          <w:rFonts w:ascii="Times New Roman" w:hAnsi="Times New Roman" w:cs="Times New Roman"/>
          <w:sz w:val="20"/>
          <w:szCs w:val="20"/>
          <w:lang w:val="en-US"/>
        </w:rPr>
        <w:t>. 6</w:t>
      </w:r>
      <w:r w:rsidRPr="00EB6685">
        <w:rPr>
          <w:rFonts w:ascii="Times New Roman" w:hAnsi="Times New Roman" w:cs="Times New Roman"/>
          <w:sz w:val="20"/>
          <w:szCs w:val="20"/>
          <w:lang w:val="pl-PL"/>
        </w:rPr>
        <w:t>5404344, 65404365, fakss 65421941</w:t>
      </w:r>
      <w:r w:rsidRPr="00EB66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B6685" w:rsidRPr="00EB6685" w:rsidRDefault="00EB6685" w:rsidP="00EB6685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EB6685">
        <w:rPr>
          <w:rFonts w:ascii="Times New Roman" w:hAnsi="Times New Roman" w:cs="Times New Roman"/>
          <w:sz w:val="20"/>
          <w:szCs w:val="20"/>
          <w:lang w:val="en-US"/>
        </w:rPr>
        <w:t>e-pasts</w:t>
      </w:r>
      <w:proofErr w:type="gramEnd"/>
      <w:r w:rsidRPr="00EB6685">
        <w:rPr>
          <w:rFonts w:ascii="Times New Roman" w:hAnsi="Times New Roman" w:cs="Times New Roman"/>
          <w:sz w:val="20"/>
          <w:szCs w:val="20"/>
          <w:lang w:val="en-US"/>
        </w:rPr>
        <w:t xml:space="preserve"> info@daugavpils.lv   </w:t>
      </w:r>
      <w:r w:rsidRPr="00EB6685">
        <w:rPr>
          <w:rFonts w:ascii="Times New Roman" w:hAnsi="Times New Roman" w:cs="Times New Roman"/>
          <w:sz w:val="20"/>
          <w:szCs w:val="20"/>
          <w:u w:val="single"/>
          <w:lang w:val="en-US"/>
        </w:rPr>
        <w:t>www.daugavpils.lv</w:t>
      </w:r>
    </w:p>
    <w:p w:rsidR="00341FA6" w:rsidRPr="00EB6685" w:rsidRDefault="00341FA6" w:rsidP="00341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5096" w:rsidRDefault="003F5096" w:rsidP="00341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41FA6" w:rsidRPr="00341FA6" w:rsidRDefault="00341FA6" w:rsidP="00341F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41FA6">
        <w:rPr>
          <w:rFonts w:ascii="Times New Roman" w:hAnsi="Times New Roman" w:cs="Times New Roman"/>
          <w:sz w:val="24"/>
          <w:szCs w:val="24"/>
          <w:lang w:val="lv-LV"/>
        </w:rPr>
        <w:t>2020.gada 29.decembra</w:t>
      </w:r>
      <w:r w:rsidRPr="00341FA6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 </w:t>
      </w:r>
      <w:r w:rsidRPr="00341FA6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Pr="00341F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41FA6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</w:t>
      </w:r>
      <w:r w:rsidRPr="00341FA6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</w:t>
      </w:r>
      <w:r w:rsidR="003F5096">
        <w:rPr>
          <w:rFonts w:ascii="Times New Roman" w:hAnsi="Times New Roman" w:cs="Times New Roman"/>
          <w:b/>
          <w:bCs/>
          <w:sz w:val="24"/>
          <w:szCs w:val="24"/>
          <w:lang w:val="lv-LV"/>
        </w:rPr>
        <w:t>Saistošie noteikumi  Nr.56</w:t>
      </w:r>
      <w:r w:rsidRPr="00341F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</w:t>
      </w:r>
    </w:p>
    <w:p w:rsidR="00341FA6" w:rsidRPr="00341FA6" w:rsidRDefault="00341FA6" w:rsidP="00341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41FA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(prot. Nr.54 ,  </w:t>
      </w:r>
      <w:r>
        <w:rPr>
          <w:rFonts w:ascii="Times New Roman" w:hAnsi="Times New Roman" w:cs="Times New Roman"/>
          <w:sz w:val="24"/>
          <w:szCs w:val="24"/>
          <w:lang w:val="lv-LV"/>
        </w:rPr>
        <w:t>48</w:t>
      </w:r>
      <w:r w:rsidRPr="00341FA6">
        <w:rPr>
          <w:rFonts w:ascii="Times New Roman" w:hAnsi="Times New Roman" w:cs="Times New Roman"/>
          <w:sz w:val="24"/>
          <w:szCs w:val="24"/>
          <w:lang w:val="lv-LV"/>
        </w:rPr>
        <w:t>.§)</w:t>
      </w:r>
    </w:p>
    <w:p w:rsidR="00341FA6" w:rsidRPr="00341FA6" w:rsidRDefault="00341FA6" w:rsidP="00341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41FA6" w:rsidRPr="00341FA6" w:rsidRDefault="00341FA6" w:rsidP="0034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41FA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APSTIPRINĀTI</w:t>
      </w:r>
    </w:p>
    <w:p w:rsidR="00341FA6" w:rsidRPr="00341FA6" w:rsidRDefault="00341FA6" w:rsidP="0034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41FA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ar Daugavpils pilsētas domes</w:t>
      </w:r>
    </w:p>
    <w:p w:rsidR="00341FA6" w:rsidRPr="00341FA6" w:rsidRDefault="00341FA6" w:rsidP="0034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41FA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2020.gada 29.decembra</w:t>
      </w:r>
    </w:p>
    <w:p w:rsidR="00341FA6" w:rsidRPr="00341FA6" w:rsidRDefault="00341FA6" w:rsidP="0034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41FA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lēmumu Nr.721</w:t>
      </w:r>
    </w:p>
    <w:p w:rsidR="00341FA6" w:rsidRPr="0054176D" w:rsidRDefault="00341FA6" w:rsidP="00341FA6">
      <w:pPr>
        <w:rPr>
          <w:lang w:val="lv-LV"/>
        </w:rPr>
      </w:pPr>
    </w:p>
    <w:p w:rsidR="00341FA6" w:rsidRPr="002A2D7A" w:rsidRDefault="00341FA6" w:rsidP="00341FA6">
      <w:pPr>
        <w:shd w:val="clear" w:color="auto" w:fill="FFFFFF"/>
        <w:spacing w:before="240" w:after="0" w:line="240" w:lineRule="auto"/>
        <w:ind w:firstLine="30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2A2D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</w:t>
      </w:r>
      <w:r w:rsidRPr="002A2D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Grozījumi Daugavpils pilsētas domes 2015.gada 10.decembra saistošajos noteikumos Nr.48 "</w:t>
      </w:r>
      <w:hyperlink r:id="rId6" w:tgtFrame="_blank" w:history="1">
        <w:r w:rsidRPr="002A2D7A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341FA6" w:rsidRPr="002A2D7A" w:rsidRDefault="00341FA6" w:rsidP="00341FA6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41FA6" w:rsidRPr="002A2D7A" w:rsidRDefault="00341FA6" w:rsidP="00341FA6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2A2D7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Izdoti saskaņā ar likuma "</w:t>
      </w:r>
      <w:hyperlink r:id="rId7" w:tgtFrame="_blank" w:history="1">
        <w:r w:rsidRPr="002A2D7A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Par pašvaldībām</w:t>
        </w:r>
      </w:hyperlink>
      <w:r w:rsidRPr="002A2D7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" </w:t>
      </w:r>
      <w:hyperlink r:id="rId8" w:anchor="p43" w:tgtFrame="_blank" w:history="1">
        <w:r w:rsidRPr="002A2D7A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43.panta</w:t>
        </w:r>
      </w:hyperlink>
      <w:r w:rsidRPr="002A2D7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 xml:space="preserve"> trešo </w:t>
      </w:r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daļu, likuma "</w:t>
      </w:r>
      <w:hyperlink r:id="rId9" w:tgtFrame="_blank" w:history="1">
        <w:r w:rsidRPr="002A2D7A">
          <w:rPr>
            <w:rFonts w:ascii="Times New Roman" w:eastAsia="Times New Roman" w:hAnsi="Times New Roman" w:cs="Times New Roman"/>
            <w:i/>
            <w:lang w:val="lv-LV" w:eastAsia="ru-RU"/>
          </w:rPr>
          <w:t>Par palīdzību dzīvokļa jautājumu risināšanā</w:t>
        </w:r>
      </w:hyperlink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0" w:anchor="n25.2" w:tgtFrame="_blank" w:history="1">
        <w:r w:rsidRPr="002A2D7A">
          <w:rPr>
            <w:rFonts w:ascii="Times New Roman" w:eastAsia="Times New Roman" w:hAnsi="Times New Roman" w:cs="Times New Roman"/>
            <w:i/>
            <w:lang w:val="lv-LV" w:eastAsia="ru-RU"/>
          </w:rPr>
          <w:t>25.</w:t>
        </w:r>
        <w:r w:rsidRPr="002A2D7A"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Pr="002A2D7A">
          <w:rPr>
            <w:rFonts w:ascii="Times New Roman" w:eastAsia="Times New Roman" w:hAnsi="Times New Roman" w:cs="Times New Roman"/>
            <w:i/>
            <w:lang w:val="lv-LV" w:eastAsia="ru-RU"/>
          </w:rPr>
          <w:t> </w:t>
        </w:r>
      </w:hyperlink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pirmo un piekto daļu un </w:t>
      </w:r>
      <w:hyperlink r:id="rId11" w:anchor="p26" w:tgtFrame="_blank" w:history="1">
        <w:r w:rsidRPr="002A2D7A">
          <w:rPr>
            <w:rFonts w:ascii="Times New Roman" w:eastAsia="Times New Roman" w:hAnsi="Times New Roman" w:cs="Times New Roman"/>
            <w:i/>
            <w:lang w:val="lv-LV" w:eastAsia="ru-RU"/>
          </w:rPr>
          <w:t>26.panta</w:t>
        </w:r>
      </w:hyperlink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 otro daļu, </w:t>
      </w:r>
    </w:p>
    <w:p w:rsidR="00341FA6" w:rsidRPr="002A2D7A" w:rsidRDefault="0090154F" w:rsidP="00341FA6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hyperlink r:id="rId12" w:tgtFrame="_blank" w:history="1">
        <w:r w:rsidR="00341FA6" w:rsidRPr="002A2D7A">
          <w:rPr>
            <w:rFonts w:ascii="Times New Roman" w:eastAsia="Times New Roman" w:hAnsi="Times New Roman" w:cs="Times New Roman"/>
            <w:i/>
            <w:lang w:val="lv-LV" w:eastAsia="ru-RU"/>
          </w:rPr>
          <w:t>Bērnu tiesību aizsardzības likuma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 </w:t>
      </w:r>
      <w:hyperlink r:id="rId13" w:anchor="p45.2" w:tgtFrame="_blank" w:history="1">
        <w:r w:rsidR="00341FA6" w:rsidRPr="002A2D7A">
          <w:rPr>
            <w:rFonts w:ascii="Times New Roman" w:eastAsia="Times New Roman" w:hAnsi="Times New Roman" w:cs="Times New Roman"/>
            <w:i/>
            <w:lang w:val="lv-LV" w:eastAsia="ru-RU"/>
          </w:rPr>
          <w:t>45.</w:t>
        </w:r>
        <w:r w:rsidR="00341FA6" w:rsidRPr="002A2D7A"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="00341FA6" w:rsidRPr="002A2D7A">
          <w:rPr>
            <w:rFonts w:ascii="Times New Roman" w:eastAsia="Times New Roman" w:hAnsi="Times New Roman" w:cs="Times New Roman"/>
            <w:i/>
            <w:lang w:val="lv-LV" w:eastAsia="ru-RU"/>
          </w:rPr>
          <w:t> panta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 ceturto daļu,</w:t>
      </w:r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Ministru kabineta 2018.gada 26.jūnija noteikumu Nr.354</w:t>
      </w:r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"</w:t>
      </w:r>
      <w:hyperlink r:id="rId14" w:tgtFrame="_blank" w:history="1">
        <w:r w:rsidR="00341FA6" w:rsidRPr="002A2D7A">
          <w:rPr>
            <w:rFonts w:ascii="Times New Roman" w:eastAsia="Times New Roman" w:hAnsi="Times New Roman" w:cs="Times New Roman"/>
            <w:i/>
            <w:lang w:val="lv-LV" w:eastAsia="ru-RU"/>
          </w:rPr>
          <w:t>Audžuģimenes noteikumi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5" w:anchor="p78" w:tgtFrame="_blank" w:history="1">
        <w:r w:rsidR="00341FA6" w:rsidRPr="002A2D7A">
          <w:rPr>
            <w:rFonts w:ascii="Times New Roman" w:eastAsia="Times New Roman" w:hAnsi="Times New Roman" w:cs="Times New Roman"/>
            <w:i/>
            <w:lang w:val="lv-LV" w:eastAsia="ru-RU"/>
          </w:rPr>
          <w:t>78.punktu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, Ministru kabineta 2005.gada 15.novembra</w:t>
      </w:r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noteikumu Nr.857 "</w:t>
      </w:r>
      <w:hyperlink r:id="rId16" w:tgtFrame="_blank" w:history="1"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Noteikumi par sociālajām garantijām bārenim un bez vecāku</w:t>
        </w:r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br/>
          <w:t xml:space="preserve">gādības palikušajam bērnam, kurš ir </w:t>
        </w:r>
        <w:proofErr w:type="spellStart"/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ārpusģimenes</w:t>
        </w:r>
        <w:proofErr w:type="spellEnd"/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 xml:space="preserve"> aprūpē, kā arī pēc</w:t>
        </w:r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br/>
        </w:r>
        <w:proofErr w:type="spellStart"/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ārpusģimenes</w:t>
        </w:r>
        <w:proofErr w:type="spellEnd"/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 xml:space="preserve"> aprūpes beigšanās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7" w:anchor="p22" w:tgtFrame="_blank" w:history="1"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22.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18" w:anchor="p27" w:tgtFrame="_blank" w:history="1"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27.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19" w:anchor="p30" w:tgtFrame="_blank" w:history="1"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30.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20" w:anchor="p31" w:tgtFrame="_blank" w:history="1"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31. 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un </w:t>
      </w:r>
      <w:hyperlink r:id="rId21" w:anchor="p31.1" w:tgtFrame="_blank" w:history="1"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31.</w:t>
        </w:r>
        <w:r w:rsidR="00341FA6" w:rsidRPr="002A2D7A">
          <w:rPr>
            <w:rFonts w:ascii="Times New Roman" w:eastAsia="Times New Roman" w:hAnsi="Times New Roman" w:cs="Times New Roman"/>
            <w:i/>
            <w:iCs/>
            <w:vertAlign w:val="superscript"/>
            <w:lang w:val="lv-LV" w:eastAsia="ru-RU"/>
          </w:rPr>
          <w:t>1</w:t>
        </w:r>
        <w:r w:rsidR="00341FA6"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 punktu</w:t>
        </w:r>
      </w:hyperlink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,</w:t>
      </w:r>
      <w:r w:rsidR="00341FA6"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 xml:space="preserve">Ministru kabineta 2018.gada 30.oktobra </w:t>
      </w:r>
    </w:p>
    <w:p w:rsidR="00341FA6" w:rsidRPr="002A2D7A" w:rsidRDefault="00341FA6" w:rsidP="00341FA6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noteikumu Nr.667 "</w:t>
      </w:r>
      <w:hyperlink r:id="rId22" w:tgtFrame="_blank" w:history="1">
        <w:r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Adopcijas kārtība</w:t>
        </w:r>
      </w:hyperlink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23" w:anchor="p54.1" w:tgtFrame="_blank" w:history="1">
        <w:r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54.1</w:t>
        </w:r>
      </w:hyperlink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., </w:t>
      </w:r>
      <w:hyperlink r:id="rId24" w:anchor="p54.2" w:tgtFrame="_blank" w:history="1">
        <w:r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54.2</w:t>
        </w:r>
      </w:hyperlink>
      <w:r w:rsidRPr="002A2D7A">
        <w:rPr>
          <w:rFonts w:ascii="Times New Roman" w:eastAsia="Times New Roman" w:hAnsi="Times New Roman" w:cs="Times New Roman"/>
          <w:i/>
          <w:iCs/>
          <w:lang w:val="lv-LV" w:eastAsia="ru-RU"/>
        </w:rPr>
        <w:t>.</w:t>
      </w:r>
      <w:hyperlink r:id="rId25" w:anchor="p55" w:tgtFrame="_blank" w:history="1">
        <w:r w:rsidRPr="002A2D7A">
          <w:rPr>
            <w:rFonts w:ascii="Times New Roman" w:eastAsia="Times New Roman" w:hAnsi="Times New Roman" w:cs="Times New Roman"/>
            <w:i/>
            <w:iCs/>
            <w:lang w:val="lv-LV" w:eastAsia="ru-RU"/>
          </w:rPr>
          <w:t>punktu</w:t>
        </w:r>
      </w:hyperlink>
    </w:p>
    <w:p w:rsidR="00341FA6" w:rsidRPr="002A2D7A" w:rsidRDefault="00341FA6" w:rsidP="00341F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341FA6" w:rsidRPr="002A2D7A" w:rsidRDefault="00341FA6" w:rsidP="00341F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Izdarīt Daugavpils pilsētas domes 2015.gada 10.decembra saistošajos noteikumos Nr.48 "</w:t>
      </w:r>
      <w:hyperlink r:id="rId26" w:tgtFrame="_blank" w:history="1">
        <w:r w:rsidRPr="002A2D7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"" (Latvijas Vēstnesis, 2016., Nr.13, Nr.143, Nr.221, 2017., Nr.</w:t>
      </w:r>
      <w:r w:rsidRPr="002A2D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189, </w:t>
      </w: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Nr.247</w:t>
      </w:r>
      <w:r w:rsidRPr="002A2D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, </w:t>
      </w: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2018., Nr.26, Nr.156, Nr.248, 2019., Nr.176, 2020., Nr.40, Nr.196, Nr. 230 (turpmāk - noteikumi), šādus grozījumus:</w:t>
      </w:r>
    </w:p>
    <w:p w:rsidR="00341FA6" w:rsidRPr="00C175ED" w:rsidRDefault="00341FA6" w:rsidP="00341FA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hanging="25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C175ED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s</w:t>
      </w:r>
      <w:r w:rsidRPr="00C175ED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vītrot 2.2. apakšpunktu;</w:t>
      </w:r>
    </w:p>
    <w:p w:rsidR="00341FA6" w:rsidRPr="009B5A37" w:rsidRDefault="00341FA6" w:rsidP="00341FA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hanging="25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izteikt 34.punktu šādā redakcijā:</w:t>
      </w:r>
    </w:p>
    <w:p w:rsidR="00341FA6" w:rsidRPr="009B5A37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“34.</w:t>
      </w:r>
      <w:r w:rsidRPr="009B5A3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</w:t>
      </w: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Vienreizējs pabalsts patstāvīgas dzīves uzsākšanai tiek izmaksāts skaidra naudā vai ar pārskaitījumu un tā apmērs ir </w:t>
      </w:r>
      <w:r w:rsidRPr="009B5A3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218,00 </w:t>
      </w: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EUR </w:t>
      </w:r>
      <w:r w:rsidRPr="009B5A3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un personām ar invaliditāti kopš bērnības - 327,00</w:t>
      </w:r>
      <w:r w:rsidRPr="009B5A3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> </w:t>
      </w: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EUR</w:t>
      </w:r>
      <w:r w:rsidRPr="009B5A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>”</w:t>
      </w: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:</w:t>
      </w:r>
    </w:p>
    <w:p w:rsidR="00341FA6" w:rsidRPr="009B5A37" w:rsidRDefault="00341FA6" w:rsidP="00341FA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hanging="25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aizstāt 36.punktā skaitli “600.00” ar skaitli “820.05”;</w:t>
      </w:r>
    </w:p>
    <w:p w:rsidR="00341FA6" w:rsidRPr="009B5A37" w:rsidRDefault="00341FA6" w:rsidP="00341FA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hanging="25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5A3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izteikt 38.punktu šādā redakcijā:</w:t>
      </w:r>
    </w:p>
    <w:p w:rsidR="00341FA6" w:rsidRDefault="00341FA6" w:rsidP="00341F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“38. Pabalsts ikmēneša izdevumiem </w:t>
      </w:r>
      <w:r w:rsidRPr="00746844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ir </w:t>
      </w:r>
      <w:r w:rsidRPr="00746844">
        <w:rPr>
          <w:rFonts w:ascii="Times New Roman" w:hAnsi="Times New Roman" w:cs="Times New Roman"/>
          <w:lang w:val="lv-LV"/>
        </w:rPr>
        <w:t>130,00 </w:t>
      </w:r>
      <w:r w:rsidRPr="00746844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EUR </w:t>
      </w:r>
      <w:r w:rsidRPr="00746844">
        <w:rPr>
          <w:rFonts w:ascii="Times New Roman" w:hAnsi="Times New Roman" w:cs="Times New Roman"/>
          <w:lang w:val="lv-LV"/>
        </w:rPr>
        <w:t xml:space="preserve">un personām </w:t>
      </w:r>
      <w:r w:rsidRPr="00B40D9D">
        <w:rPr>
          <w:rFonts w:ascii="Times New Roman" w:hAnsi="Times New Roman" w:cs="Times New Roman"/>
          <w:lang w:val="lv-LV"/>
        </w:rPr>
        <w:t xml:space="preserve">ar invaliditāti kopš bērnības </w:t>
      </w:r>
      <w:r>
        <w:rPr>
          <w:rFonts w:ascii="Times New Roman" w:hAnsi="Times New Roman" w:cs="Times New Roman"/>
          <w:lang w:val="lv-LV"/>
        </w:rPr>
        <w:t>-</w:t>
      </w:r>
      <w:r w:rsidRPr="00B40D9D">
        <w:rPr>
          <w:rFonts w:ascii="Times New Roman" w:hAnsi="Times New Roman" w:cs="Times New Roman"/>
          <w:lang w:val="lv-LV"/>
        </w:rPr>
        <w:t xml:space="preserve"> 163,00 </w:t>
      </w:r>
      <w:r w:rsidRPr="00EA1D9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”;</w:t>
      </w:r>
    </w:p>
    <w:p w:rsidR="00341FA6" w:rsidRPr="00BF7DFE" w:rsidRDefault="00341FA6" w:rsidP="00341FA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BF7DFE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papildināt 42.punktu ar teikumu šādā redakcijā:</w:t>
      </w:r>
    </w:p>
    <w:p w:rsidR="00341FA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C5FC4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“Piešķirot mājokļa pabalstu, netiek vērtēti ienākumi un materiālais stāvoklis”;</w:t>
      </w:r>
    </w:p>
    <w:p w:rsidR="00341FA6" w:rsidRDefault="00341FA6" w:rsidP="00341FA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izteikt 43.punktu šādā redakcija:</w:t>
      </w:r>
    </w:p>
    <w:p w:rsidR="00341FA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6A40C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lastRenderedPageBreak/>
        <w:t>“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43. </w:t>
      </w:r>
      <w:r w:rsidRPr="006A40C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Mājokļa platība, kuru ņem vērā, apmaksājot izdevumus par dzīvojamo telpu īri, mājas pārvaldīšanu un apkuri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ir</w:t>
      </w:r>
      <w:r w:rsidRPr="006A40C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45</w:t>
      </w:r>
      <w:r w:rsidRPr="006A40C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 m2 no mājokļa kopējās platības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, vai mājokļa visu platību:</w:t>
      </w:r>
    </w:p>
    <w:p w:rsidR="00341FA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43.1.  ja tas ir vienistabas dzīvoklis vai istaba kopīpašnieku mājoklī;</w:t>
      </w:r>
    </w:p>
    <w:p w:rsidR="00341FA6" w:rsidRPr="00746844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746844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43.2. ja divistabu dzīvoklī savu dzīvesvietu deklarējusi viena vai vairākas personas (kas arī faktiski tur dzīvo), kurām ir noteikta I vai II grupas invaliditāte, vai persona, kura sasniegusi valsts vecuma pensijas piešķiršanai nepieciešamo vecumu”;</w:t>
      </w:r>
    </w:p>
    <w:p w:rsidR="00341FA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7</w:t>
      </w: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izdarīt 44.punktā šādus grozījumus:</w:t>
      </w:r>
    </w:p>
    <w:p w:rsidR="00341FA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1.7.1. </w:t>
      </w:r>
      <w:r w:rsidRPr="00812DC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aizstāt 44.1.apakšpunktā vārdus un skaitļus “ne vairāk kā par 45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en-GB"/>
        </w:rPr>
        <w:t>2</w:t>
      </w:r>
      <w:r w:rsidRPr="00812DC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 platību un 2,50 EUR par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en-GB"/>
        </w:rPr>
        <w:t>2</w:t>
      </w:r>
      <w:r w:rsidRPr="00812DC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 mēnesī” ar vārdiem un skaitļiem “nepārsniedzot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mājokļa platību normas</w:t>
      </w:r>
      <w:r w:rsidRPr="00812DC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, bet ne vairāk kā 5 </w:t>
      </w:r>
      <w:r w:rsidRPr="00311E3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par 1 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en-GB"/>
        </w:rPr>
        <w:t>2</w:t>
      </w:r>
      <w:r w:rsidRPr="00812DC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,”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;</w:t>
      </w:r>
    </w:p>
    <w:p w:rsidR="00341FA6" w:rsidRPr="00EA1D9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1.7.2. </w:t>
      </w: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aizstāt 44.2.apakšpunktā skaitli un vārd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us</w:t>
      </w: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2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en-GB"/>
        </w:rPr>
        <w:t>3</w:t>
      </w:r>
      <w:r w:rsidRPr="00812DC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 karstā ūdens mēnesī” ar </w:t>
      </w: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skaitli un vārdiem “3</w:t>
      </w:r>
      <w:r w:rsidRPr="0091195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</w:t>
      </w:r>
      <w:r w:rsidRPr="0091195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lv-LV"/>
        </w:rPr>
        <w:t>3</w:t>
      </w:r>
      <w:r w:rsidRPr="0091195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karstā ūdens mēnesī</w:t>
      </w: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, skaitli “0,80</w:t>
      </w:r>
      <w:r w:rsidRPr="00EA1D9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” ar </w:t>
      </w: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skaitli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“</w:t>
      </w:r>
      <w:r w:rsidRPr="00EA1D9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95” un </w:t>
      </w:r>
      <w:r w:rsidRPr="0091195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skaitli un </w:t>
      </w:r>
      <w:r w:rsidRPr="00311E3E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vārdus “</w:t>
      </w:r>
      <w:r w:rsidRPr="00311E3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114,00 EUR kalendārajā gadā;</w:t>
      </w:r>
      <w:r w:rsidRPr="00311E3E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” ar skaitli un vārdiem “atbilstoši faktiskiem izdevumiem, bet ne vairāk kā 6 </w:t>
      </w:r>
      <w:r w:rsidRPr="00311E3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EUR </w:t>
      </w:r>
      <w:r w:rsidRPr="00311E3E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par mājokļa 1 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en-GB"/>
        </w:rPr>
        <w:t>2</w:t>
      </w:r>
      <w:r w:rsidRPr="00311E3E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 </w:t>
      </w:r>
      <w:r w:rsidRPr="00311E3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kalendārajā gadā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”;</w:t>
      </w:r>
    </w:p>
    <w:p w:rsidR="00341FA6" w:rsidRPr="00EA1D96" w:rsidRDefault="00341FA6" w:rsidP="00341FA6">
      <w:pPr>
        <w:shd w:val="clear" w:color="auto" w:fill="FFFFFF"/>
        <w:spacing w:after="0" w:line="240" w:lineRule="auto"/>
        <w:ind w:left="180" w:firstLine="24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1.7.3. aizstāt 44.3.apakšpunktā skaitli </w:t>
      </w:r>
      <w:r w:rsidRPr="00EA1D9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“70”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ar skaitli “100”;</w:t>
      </w:r>
    </w:p>
    <w:p w:rsidR="00341FA6" w:rsidRPr="00F2706D" w:rsidRDefault="00341FA6" w:rsidP="00341FA6">
      <w:pPr>
        <w:shd w:val="clear" w:color="auto" w:fill="FFFFFF"/>
        <w:spacing w:after="0" w:line="240" w:lineRule="auto"/>
        <w:ind w:left="180" w:firstLine="24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1.8. </w:t>
      </w:r>
      <w:r w:rsidRPr="00F2706D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izteikt 44.8.apakšpunktu šādā redakcija:</w:t>
      </w:r>
    </w:p>
    <w:p w:rsidR="00341FA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“44.8. </w:t>
      </w:r>
      <w:r w:rsidRPr="00E5722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par viena ūdens skaitītāja uzstādīšanu vai pārbaudi – līdz 15 </w:t>
      </w:r>
      <w:r w:rsidRPr="00EA1D9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EUR</w:t>
      </w:r>
      <w:r w:rsidRPr="00E5722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, bet ne vairāk, kā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faktisko </w:t>
      </w:r>
      <w:r w:rsidRPr="00E5722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izdevumu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apmērā”;</w:t>
      </w:r>
    </w:p>
    <w:p w:rsidR="00341FA6" w:rsidRDefault="00341FA6" w:rsidP="00341FA6">
      <w:pPr>
        <w:shd w:val="clear" w:color="auto" w:fill="FFFFFF"/>
        <w:spacing w:after="0" w:line="240" w:lineRule="auto"/>
        <w:ind w:left="180" w:firstLine="24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F2706D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9</w:t>
      </w:r>
      <w:r w:rsidRPr="00F2706D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papildināt ar </w:t>
      </w:r>
      <w:r w:rsidRPr="0086048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10</w:t>
      </w:r>
      <w:r w:rsidRPr="0086048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.apakšpunkt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u </w:t>
      </w: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šādā redakcijā:</w:t>
      </w:r>
    </w:p>
    <w:p w:rsidR="00341FA6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1313E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“44.10. </w:t>
      </w:r>
      <w:r w:rsidRPr="00F2706D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par telekomunikāciju un interneta lietošanu – līdz 20 </w:t>
      </w:r>
      <w:r w:rsidRPr="00EA1D9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EUR</w:t>
      </w:r>
      <w:r w:rsidRPr="00F2706D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mēnesī, bet ne vairāk, kā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faktisko </w:t>
      </w:r>
      <w:r w:rsidRPr="00E5722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izdevumu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apmērā”;</w:t>
      </w:r>
    </w:p>
    <w:p w:rsidR="00341FA6" w:rsidRDefault="00341FA6" w:rsidP="00341FA6">
      <w:pPr>
        <w:shd w:val="clear" w:color="auto" w:fill="FFFFFF"/>
        <w:spacing w:after="0" w:line="240" w:lineRule="auto"/>
        <w:ind w:left="180" w:firstLine="24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1.10. izteikt 47.punktu punktu šādā redakcijā:</w:t>
      </w:r>
    </w:p>
    <w:p w:rsidR="00341FA6" w:rsidRPr="005F3DF3" w:rsidRDefault="00341FA6" w:rsidP="00341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“47. </w:t>
      </w:r>
      <w:r w:rsidRPr="0096440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Lai saņemtu pabalstu, Sociālajā dienestā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jāie</w:t>
      </w:r>
      <w:r w:rsidRPr="0096440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snie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dz</w:t>
      </w:r>
      <w:r w:rsidRPr="0096440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iesniegums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un</w:t>
      </w:r>
      <w:r w:rsidRPr="0096440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 w:rsidRPr="005F3DF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dokument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 kopijas</w:t>
      </w:r>
      <w:r w:rsidRPr="005F3DF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kas apliecina ar mājokļa lietošanu saistīt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</w:t>
      </w:r>
      <w:r w:rsidRPr="005F3DF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 izdevumus, </w:t>
      </w:r>
      <w:r>
        <w:rPr>
          <w:rFonts w:ascii="Times New Roman" w:hAnsi="Times New Roman" w:cs="Times New Roman"/>
          <w:sz w:val="24"/>
          <w:szCs w:val="24"/>
          <w:lang w:val="lv-LV"/>
        </w:rPr>
        <w:t>ja šādi dokumenti nav S</w:t>
      </w:r>
      <w:r w:rsidRPr="005F3DF3">
        <w:rPr>
          <w:rFonts w:ascii="Times New Roman" w:hAnsi="Times New Roman" w:cs="Times New Roman"/>
          <w:sz w:val="24"/>
          <w:szCs w:val="24"/>
          <w:lang w:val="lv-LV"/>
        </w:rPr>
        <w:t>ociālā dienesta rīcībā,</w:t>
      </w:r>
      <w:r w:rsidRPr="005F3DF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mājokļa pabalsta aprēķināšanai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Ikmēneša </w:t>
      </w:r>
      <w:r w:rsidRPr="005F3DF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dokument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 kopijas</w:t>
      </w:r>
      <w:r w:rsidRPr="005F3DF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kas apliecina ar mājokļa lietošanu saistīt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</w:t>
      </w:r>
      <w:r w:rsidRPr="005F3DF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 izdevumus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var iesūtīt ar e-pasta starpniecību.”;</w:t>
      </w:r>
    </w:p>
    <w:p w:rsidR="00341FA6" w:rsidRDefault="00341FA6" w:rsidP="00341FA6">
      <w:pPr>
        <w:shd w:val="clear" w:color="auto" w:fill="FFFFFF"/>
        <w:spacing w:after="0" w:line="240" w:lineRule="auto"/>
        <w:ind w:left="180" w:firstLine="24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1.11. svītrot 48.punktu;</w:t>
      </w:r>
    </w:p>
    <w:p w:rsidR="00341FA6" w:rsidRDefault="00341FA6" w:rsidP="00341FA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    1.12.</w:t>
      </w:r>
      <w:r w:rsidRPr="002058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papildināt 49.punktu ar teikumu šādā redakcijā:</w:t>
      </w:r>
    </w:p>
    <w:p w:rsidR="00341FA6" w:rsidRDefault="00341FA6" w:rsidP="0034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“Pabalstu izmaksā </w:t>
      </w:r>
      <w:r w:rsidRPr="00C571E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ar pārskaitījumu uz pabalsta pieprasītāja norādīt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ā pakalpojuma sniedzēja vai pabalsta </w:t>
      </w:r>
      <w:r w:rsidRPr="00C571E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pieprasītāja kontu kredītiestādē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”;</w:t>
      </w:r>
    </w:p>
    <w:p w:rsidR="00341FA6" w:rsidRDefault="00341FA6" w:rsidP="0034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     1.13. </w:t>
      </w:r>
      <w:r w:rsidRPr="002058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svītrot 51.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-52.</w:t>
      </w:r>
      <w:r w:rsidRPr="00F66D6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 w:rsidRPr="002058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punktu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;</w:t>
      </w:r>
    </w:p>
    <w:p w:rsidR="00341FA6" w:rsidRPr="002058A9" w:rsidRDefault="00341FA6" w:rsidP="0034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     1.14. </w:t>
      </w:r>
      <w:r w:rsidRPr="002058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svītrot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54.-55.</w:t>
      </w:r>
      <w:r w:rsidRPr="002058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punktu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.</w:t>
      </w:r>
    </w:p>
    <w:p w:rsidR="00341FA6" w:rsidRPr="002A2D7A" w:rsidRDefault="00341FA6" w:rsidP="00341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</w:pPr>
    </w:p>
    <w:p w:rsidR="00341FA6" w:rsidRPr="00964407" w:rsidRDefault="00341FA6" w:rsidP="0034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6440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2. Noteikum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 tiek piemēroti ar</w:t>
      </w:r>
      <w:r w:rsidRPr="0096440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2021.gada 1.janvār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</w:t>
      </w:r>
      <w:r w:rsidRPr="0096440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341FA6" w:rsidRDefault="00341FA6" w:rsidP="00341FA6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341FA6" w:rsidRPr="002A2D7A" w:rsidRDefault="00341FA6" w:rsidP="00341FA6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</w:t>
      </w: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omes priekšsēdētājs 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</w:t>
      </w: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I.Prelatovs</w:t>
      </w:r>
    </w:p>
    <w:p w:rsidR="00341FA6" w:rsidRDefault="00341FA6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154F" w:rsidRPr="0090154F" w:rsidRDefault="0090154F" w:rsidP="0090154F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Dokuments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ir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parakstīts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ar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drošu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elektronisko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parakstu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gram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un</w:t>
      </w:r>
      <w:proofErr w:type="gram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satur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laika</w:t>
      </w:r>
      <w:proofErr w:type="spellEnd"/>
      <w:r w:rsidRPr="0090154F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90154F">
        <w:rPr>
          <w:rFonts w:ascii="Times New Roman" w:eastAsia="Times New Roman" w:hAnsi="Times New Roman"/>
          <w:bCs/>
          <w:i/>
          <w:lang w:val="en-US" w:eastAsia="x-none"/>
        </w:rPr>
        <w:t>zīmogu</w:t>
      </w:r>
      <w:proofErr w:type="spellEnd"/>
    </w:p>
    <w:p w:rsidR="0090154F" w:rsidRPr="0090154F" w:rsidRDefault="0090154F" w:rsidP="0034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90154F" w:rsidRPr="0090154F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37FC"/>
    <w:multiLevelType w:val="multilevel"/>
    <w:tmpl w:val="F8C4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A6"/>
    <w:rsid w:val="00341FA6"/>
    <w:rsid w:val="003B1F3C"/>
    <w:rsid w:val="003D287F"/>
    <w:rsid w:val="003F5096"/>
    <w:rsid w:val="00412E88"/>
    <w:rsid w:val="007B3DD9"/>
    <w:rsid w:val="0090154F"/>
    <w:rsid w:val="00B41042"/>
    <w:rsid w:val="00CF4D3F"/>
    <w:rsid w:val="00E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19FE6B-6CDC-44A5-B2CA-9B32F05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A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96"/>
    <w:rPr>
      <w:rFonts w:ascii="Segoe U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EB66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B66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yperlink" Target="https://likumi.lv/ta/id/49096-bernu-tiesibu-aizsardzibas-likums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6" Type="http://schemas.openxmlformats.org/officeDocument/2006/relationships/hyperlink" Target="https://likumi.lv/ta/id/279417-daugavpils-pilsetas-pasvaldibas-socialas-garantijas-barenim-un-bez-vecaku-gadibas-palikusajam-bern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5" Type="http://schemas.openxmlformats.org/officeDocument/2006/relationships/hyperlink" Target="https://likumi.lv/ta/id/302796-adopcijas-karti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kumi.lv/ta/id/279417-daugavpils-pilsetas-pasvaldibas-socialas-garantijas-barenim-un-bez-vecaku-gadibas-palikusajam-bernam" TargetMode="Externa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302796-adopcijas-kartib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kumi.lv/ta/id/300005-audzugimenes-noteikumi" TargetMode="External"/><Relationship Id="rId23" Type="http://schemas.openxmlformats.org/officeDocument/2006/relationships/hyperlink" Target="https://likumi.lv/ta/id/302796-adopcijas-kartib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300005-audzugimenes-noteikumi" TargetMode="External"/><Relationship Id="rId22" Type="http://schemas.openxmlformats.org/officeDocument/2006/relationships/hyperlink" Target="https://likumi.lv/ta/id/302796-adopcijas-kartib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4963</Words>
  <Characters>2830</Characters>
  <Application>Microsoft Office Word</Application>
  <DocSecurity>0</DocSecurity>
  <Lines>23</Lines>
  <Paragraphs>15</Paragraphs>
  <ScaleCrop>false</ScaleCrop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4</cp:revision>
  <cp:lastPrinted>2021-01-04T07:57:00Z</cp:lastPrinted>
  <dcterms:created xsi:type="dcterms:W3CDTF">2021-01-03T15:53:00Z</dcterms:created>
  <dcterms:modified xsi:type="dcterms:W3CDTF">2021-01-05T07:05:00Z</dcterms:modified>
</cp:coreProperties>
</file>