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CF" w:rsidRPr="00CF63CF" w:rsidRDefault="00CF63CF" w:rsidP="00CF63CF">
      <w:pPr>
        <w:spacing w:after="120" w:line="240" w:lineRule="auto"/>
        <w:jc w:val="center"/>
        <w:rPr>
          <w:rFonts w:ascii="Times New Roman" w:eastAsia="Calibri" w:hAnsi="Times New Roman" w:cs="Times New Roman"/>
          <w:b/>
          <w:sz w:val="24"/>
          <w:szCs w:val="24"/>
        </w:rPr>
      </w:pPr>
      <w:r w:rsidRPr="00CF63CF">
        <w:rPr>
          <w:rFonts w:ascii="Times New Roman" w:eastAsia="Calibri" w:hAnsi="Times New Roman" w:cs="Times New Roman"/>
          <w:b/>
          <w:sz w:val="24"/>
          <w:szCs w:val="24"/>
        </w:rPr>
        <w:t>Daugavpils pilsēt</w:t>
      </w:r>
      <w:r>
        <w:rPr>
          <w:rFonts w:ascii="Times New Roman" w:eastAsia="Calibri" w:hAnsi="Times New Roman" w:cs="Times New Roman"/>
          <w:b/>
          <w:sz w:val="24"/>
          <w:szCs w:val="24"/>
        </w:rPr>
        <w:t>as domes 2020.gada 19.novembra</w:t>
      </w:r>
      <w:r w:rsidRPr="00CF63CF">
        <w:rPr>
          <w:rFonts w:ascii="Times New Roman" w:eastAsia="Calibri" w:hAnsi="Times New Roman" w:cs="Times New Roman"/>
          <w:b/>
          <w:sz w:val="24"/>
          <w:szCs w:val="24"/>
        </w:rPr>
        <w:t xml:space="preserve"> saistošo noteikumu </w:t>
      </w:r>
      <w:r w:rsidR="00241A73">
        <w:rPr>
          <w:rFonts w:ascii="Times New Roman" w:eastAsia="Calibri" w:hAnsi="Times New Roman" w:cs="Times New Roman"/>
          <w:b/>
          <w:sz w:val="24"/>
          <w:szCs w:val="24"/>
        </w:rPr>
        <w:t>Nr.43</w:t>
      </w:r>
      <w:r w:rsidRPr="00CF63CF">
        <w:rPr>
          <w:rFonts w:ascii="Times New Roman" w:eastAsia="Calibri" w:hAnsi="Times New Roman" w:cs="Times New Roman"/>
          <w:b/>
          <w:sz w:val="24"/>
          <w:szCs w:val="24"/>
        </w:rPr>
        <w:t xml:space="preserve"> “Grozījums Daugavpils pilsētas domes 2015.gada 30.janvāra saistošajos noteikumos Nr.4 "</w:t>
      </w:r>
      <w:hyperlink r:id="rId4" w:tgtFrame="_blank" w:history="1">
        <w:r w:rsidRPr="00CF63CF">
          <w:rPr>
            <w:rFonts w:ascii="Times New Roman" w:eastAsia="Calibri" w:hAnsi="Times New Roman" w:cs="Times New Roman"/>
            <w:b/>
            <w:sz w:val="24"/>
            <w:szCs w:val="24"/>
          </w:rPr>
          <w:t>Ģimenes vai atsevišķi dzīvojošas personas atzīšana par maznodrošinātu</w:t>
        </w:r>
      </w:hyperlink>
      <w:r w:rsidRPr="00CF63CF">
        <w:rPr>
          <w:rFonts w:ascii="Times New Roman" w:eastAsia="Calibri" w:hAnsi="Times New Roman" w:cs="Times New Roman"/>
          <w:b/>
          <w:sz w:val="24"/>
          <w:szCs w:val="24"/>
        </w:rPr>
        <w:t>" paskaidrojuma raksts</w:t>
      </w:r>
    </w:p>
    <w:tbl>
      <w:tblPr>
        <w:tblW w:w="96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205"/>
      </w:tblGrid>
      <w:tr w:rsidR="00CF63CF" w:rsidRPr="00CF63CF" w:rsidTr="00CF63CF">
        <w:tc>
          <w:tcPr>
            <w:tcW w:w="2491" w:type="dxa"/>
            <w:tcBorders>
              <w:top w:val="single" w:sz="4" w:space="0" w:color="auto"/>
              <w:left w:val="single" w:sz="4" w:space="0" w:color="auto"/>
              <w:bottom w:val="single" w:sz="4" w:space="0" w:color="auto"/>
              <w:right w:val="single" w:sz="4" w:space="0" w:color="auto"/>
            </w:tcBorders>
            <w:hideMark/>
          </w:tcPr>
          <w:p w:rsidR="00CF63CF" w:rsidRPr="00CF63CF" w:rsidRDefault="00CF63CF" w:rsidP="00CF63CF">
            <w:pPr>
              <w:spacing w:after="0" w:line="240" w:lineRule="auto"/>
              <w:jc w:val="center"/>
              <w:rPr>
                <w:rFonts w:ascii="Times New Roman" w:eastAsia="Calibri" w:hAnsi="Times New Roman" w:cs="Times New Roman"/>
                <w:b/>
                <w:sz w:val="24"/>
                <w:szCs w:val="24"/>
              </w:rPr>
            </w:pPr>
            <w:r w:rsidRPr="00CF63CF">
              <w:rPr>
                <w:rFonts w:ascii="Times New Roman" w:eastAsia="Calibri" w:hAnsi="Times New Roman" w:cs="Times New Roman"/>
                <w:b/>
                <w:sz w:val="24"/>
                <w:szCs w:val="24"/>
              </w:rPr>
              <w:t>Paskaidrojuma raksta sadaļas</w:t>
            </w:r>
          </w:p>
        </w:tc>
        <w:tc>
          <w:tcPr>
            <w:tcW w:w="7205" w:type="dxa"/>
            <w:tcBorders>
              <w:top w:val="single" w:sz="4" w:space="0" w:color="auto"/>
              <w:left w:val="single" w:sz="4" w:space="0" w:color="auto"/>
              <w:bottom w:val="single" w:sz="4" w:space="0" w:color="auto"/>
              <w:right w:val="single" w:sz="4" w:space="0" w:color="auto"/>
            </w:tcBorders>
            <w:hideMark/>
          </w:tcPr>
          <w:p w:rsidR="00CF63CF" w:rsidRPr="00CF63CF" w:rsidRDefault="00CF63CF" w:rsidP="00CF63CF">
            <w:pPr>
              <w:spacing w:after="0" w:line="240" w:lineRule="auto"/>
              <w:jc w:val="center"/>
              <w:rPr>
                <w:rFonts w:ascii="Times New Roman" w:eastAsia="Calibri" w:hAnsi="Times New Roman" w:cs="Times New Roman"/>
                <w:b/>
                <w:sz w:val="24"/>
                <w:szCs w:val="24"/>
              </w:rPr>
            </w:pPr>
            <w:r w:rsidRPr="00CF63CF">
              <w:rPr>
                <w:rFonts w:ascii="Times New Roman" w:eastAsia="Calibri" w:hAnsi="Times New Roman" w:cs="Times New Roman"/>
                <w:b/>
                <w:sz w:val="24"/>
                <w:szCs w:val="24"/>
              </w:rPr>
              <w:t>Norādāmā informācija</w:t>
            </w:r>
          </w:p>
        </w:tc>
      </w:tr>
      <w:tr w:rsidR="00CF63CF" w:rsidRPr="00CF63CF" w:rsidTr="00CF63CF">
        <w:tc>
          <w:tcPr>
            <w:tcW w:w="2491" w:type="dxa"/>
            <w:tcBorders>
              <w:top w:val="single" w:sz="4" w:space="0" w:color="auto"/>
              <w:left w:val="single" w:sz="4" w:space="0" w:color="auto"/>
              <w:bottom w:val="single" w:sz="4" w:space="0" w:color="auto"/>
              <w:right w:val="single" w:sz="4" w:space="0" w:color="auto"/>
            </w:tcBorders>
            <w:hideMark/>
          </w:tcPr>
          <w:p w:rsidR="00CF63CF" w:rsidRPr="00CF63CF" w:rsidRDefault="00CF63CF" w:rsidP="00CF63CF">
            <w:pPr>
              <w:spacing w:after="0" w:line="240" w:lineRule="auto"/>
              <w:rPr>
                <w:rFonts w:ascii="Times New Roman" w:eastAsia="Calibri" w:hAnsi="Times New Roman" w:cs="Times New Roman"/>
                <w:sz w:val="24"/>
                <w:szCs w:val="24"/>
              </w:rPr>
            </w:pPr>
            <w:r w:rsidRPr="00CF63CF">
              <w:rPr>
                <w:rFonts w:ascii="Times New Roman" w:eastAsia="Calibri" w:hAnsi="Times New Roman" w:cs="Times New Roman"/>
                <w:sz w:val="24"/>
                <w:szCs w:val="24"/>
              </w:rPr>
              <w:t>Projekta nepieciešamības pamatojums</w:t>
            </w:r>
          </w:p>
        </w:tc>
        <w:tc>
          <w:tcPr>
            <w:tcW w:w="7205" w:type="dxa"/>
            <w:tcBorders>
              <w:top w:val="single" w:sz="4" w:space="0" w:color="auto"/>
              <w:left w:val="single" w:sz="4" w:space="0" w:color="auto"/>
              <w:bottom w:val="single" w:sz="4" w:space="0" w:color="auto"/>
              <w:right w:val="single" w:sz="4" w:space="0" w:color="auto"/>
            </w:tcBorders>
            <w:hideMark/>
          </w:tcPr>
          <w:p w:rsidR="00CF63CF" w:rsidRPr="00CF63CF" w:rsidRDefault="00CF63CF" w:rsidP="00CF63CF">
            <w:pPr>
              <w:spacing w:after="0" w:line="240" w:lineRule="auto"/>
              <w:ind w:left="-41"/>
              <w:jc w:val="both"/>
              <w:rPr>
                <w:rFonts w:ascii="Times New Roman" w:eastAsia="Times New Roman" w:hAnsi="Times New Roman" w:cs="Times New Roman"/>
                <w:sz w:val="24"/>
                <w:szCs w:val="24"/>
                <w:lang w:eastAsia="en-GB"/>
              </w:rPr>
            </w:pPr>
            <w:r w:rsidRPr="00CF63CF">
              <w:rPr>
                <w:rFonts w:ascii="Times New Roman" w:eastAsia="Times New Roman" w:hAnsi="Times New Roman" w:cs="Times New Roman"/>
                <w:sz w:val="24"/>
                <w:szCs w:val="24"/>
                <w:lang w:eastAsia="en-GB"/>
              </w:rPr>
              <w:t>Likuma “Par palīdzību dzīvokļa jautājumu risināšanā” 14.panta sestā daļa paredz, ka par maznodrošinātu atzīstama persona, kuras ienākumi un materiālais stāvoklis nepārsniedz attiecīgās pašvaldības domes noteikto līmeni, kas savukārt nedrīkst būt zemāks par trūcīgas personas ienākumu un materiālā stāvokļa līmeni.</w:t>
            </w:r>
          </w:p>
          <w:p w:rsidR="00CF63CF" w:rsidRPr="00CF63CF" w:rsidRDefault="00CF63CF" w:rsidP="00CF63CF">
            <w:pPr>
              <w:spacing w:after="0" w:line="240" w:lineRule="auto"/>
              <w:ind w:left="-41"/>
              <w:jc w:val="both"/>
              <w:rPr>
                <w:rFonts w:ascii="Times New Roman" w:eastAsia="Times New Roman" w:hAnsi="Times New Roman" w:cs="Times New Roman"/>
                <w:sz w:val="24"/>
                <w:szCs w:val="24"/>
                <w:lang w:eastAsia="en-GB"/>
              </w:rPr>
            </w:pPr>
            <w:r w:rsidRPr="00CF63CF">
              <w:rPr>
                <w:rFonts w:ascii="Times New Roman" w:eastAsia="Times New Roman" w:hAnsi="Times New Roman" w:cs="Times New Roman"/>
                <w:sz w:val="24"/>
                <w:szCs w:val="24"/>
                <w:lang w:eastAsia="en-GB"/>
              </w:rPr>
              <w:t>Noteikumi paredz palielināt ģ</w:t>
            </w:r>
            <w:hyperlink r:id="rId5" w:tgtFrame="_blank" w:history="1">
              <w:r w:rsidRPr="00CF63CF">
                <w:rPr>
                  <w:rFonts w:ascii="Times New Roman" w:eastAsia="Times New Roman" w:hAnsi="Times New Roman" w:cs="Times New Roman"/>
                  <w:sz w:val="24"/>
                  <w:szCs w:val="24"/>
                  <w:lang w:eastAsia="en-GB"/>
                </w:rPr>
                <w:t xml:space="preserve">imenes (personas) ienākuma līmeni līdz </w:t>
              </w:r>
              <w:r w:rsidRPr="00CF63CF">
                <w:rPr>
                  <w:rFonts w:ascii="Times New Roman" w:eastAsia="Calibri" w:hAnsi="Times New Roman" w:cs="Times New Roman"/>
                  <w:sz w:val="24"/>
                  <w:szCs w:val="24"/>
                </w:rPr>
                <w:t xml:space="preserve">400 </w:t>
              </w:r>
              <w:proofErr w:type="spellStart"/>
              <w:r w:rsidRPr="00CF63CF">
                <w:rPr>
                  <w:rFonts w:ascii="Times New Roman" w:eastAsia="Calibri" w:hAnsi="Times New Roman" w:cs="Times New Roman"/>
                  <w:i/>
                  <w:sz w:val="24"/>
                  <w:szCs w:val="24"/>
                </w:rPr>
                <w:t>euro</w:t>
              </w:r>
              <w:proofErr w:type="spellEnd"/>
              <w:r w:rsidRPr="00CF63CF">
                <w:rPr>
                  <w:rFonts w:ascii="Times New Roman" w:eastAsia="Calibri" w:hAnsi="Times New Roman" w:cs="Times New Roman"/>
                  <w:sz w:val="24"/>
                  <w:szCs w:val="24"/>
                </w:rPr>
                <w:t xml:space="preserve"> personas </w:t>
              </w:r>
              <w:r w:rsidRPr="00CF63CF">
                <w:rPr>
                  <w:rFonts w:ascii="Times New Roman" w:eastAsia="Times New Roman" w:hAnsi="Times New Roman" w:cs="Times New Roman"/>
                  <w:sz w:val="24"/>
                  <w:szCs w:val="24"/>
                  <w:lang w:eastAsia="en-GB"/>
                </w:rPr>
                <w:t>atzīšanai par maznodrošinātu</w:t>
              </w:r>
            </w:hyperlink>
            <w:r w:rsidRPr="00CF63CF">
              <w:rPr>
                <w:rFonts w:ascii="Times New Roman" w:eastAsia="Times New Roman" w:hAnsi="Times New Roman" w:cs="Times New Roman"/>
                <w:sz w:val="24"/>
                <w:szCs w:val="24"/>
                <w:lang w:eastAsia="en-GB"/>
              </w:rPr>
              <w:t xml:space="preserve">, un pieļaujamo uzkrājumu apmēru 1200 </w:t>
            </w:r>
            <w:proofErr w:type="spellStart"/>
            <w:r w:rsidRPr="00CF63CF">
              <w:rPr>
                <w:rFonts w:ascii="Times New Roman" w:eastAsia="Times New Roman" w:hAnsi="Times New Roman" w:cs="Times New Roman"/>
                <w:i/>
                <w:sz w:val="24"/>
                <w:szCs w:val="24"/>
                <w:lang w:eastAsia="en-GB"/>
              </w:rPr>
              <w:t>euro</w:t>
            </w:r>
            <w:proofErr w:type="spellEnd"/>
            <w:r w:rsidRPr="00CF63CF">
              <w:rPr>
                <w:rFonts w:ascii="Times New Roman" w:eastAsia="Times New Roman" w:hAnsi="Times New Roman" w:cs="Times New Roman"/>
                <w:sz w:val="24"/>
                <w:szCs w:val="24"/>
                <w:lang w:eastAsia="en-GB"/>
              </w:rPr>
              <w:t>, tādejādi paplašinot personu loku maznodrošinātas ģimenes (personas) statusa saņemšanai.</w:t>
            </w:r>
          </w:p>
          <w:p w:rsidR="00CF63CF" w:rsidRPr="00CF63CF" w:rsidRDefault="00CF63CF" w:rsidP="00CF63CF">
            <w:pPr>
              <w:spacing w:after="0" w:line="240" w:lineRule="auto"/>
              <w:ind w:left="-41"/>
              <w:jc w:val="both"/>
              <w:rPr>
                <w:rFonts w:ascii="Times New Roman" w:eastAsia="Times New Roman" w:hAnsi="Times New Roman" w:cs="Times New Roman"/>
                <w:sz w:val="24"/>
                <w:szCs w:val="24"/>
                <w:lang w:eastAsia="en-GB"/>
              </w:rPr>
            </w:pPr>
            <w:r w:rsidRPr="00CF63CF">
              <w:rPr>
                <w:rFonts w:ascii="Times New Roman" w:eastAsia="Times New Roman" w:hAnsi="Times New Roman" w:cs="Times New Roman"/>
                <w:sz w:val="24"/>
                <w:szCs w:val="24"/>
                <w:lang w:eastAsia="en-GB"/>
              </w:rPr>
              <w:t>Saeimā ir iesniegts un tiek izskatīts likumprojekts “Grozījumi Sociālo pakalpojumu un sociālās palīdzības likumā”, kas pārejas noteikumu 41.punktā paredz, ka līdz 2020.gada 31.decembrim izsniegtā izziņa par atbilstību trūcīgas un maznodrošinātas ģimenes (personas) statusam ir spēkā līdz izziņā norādītā termiņa beigām, bet ne ilgāk kā līdz 2021.gada 30.novembrim, un šajā laikā tā ir pamats valsts un pašvaldības normatīvajos aktos noteikto pabalstu un atvieglojumu saņemšanai.</w:t>
            </w:r>
          </w:p>
          <w:p w:rsidR="00CF63CF" w:rsidRPr="00CF63CF" w:rsidRDefault="00CF63CF" w:rsidP="00CF63CF">
            <w:pPr>
              <w:spacing w:after="0" w:line="240" w:lineRule="auto"/>
              <w:ind w:left="-41"/>
              <w:jc w:val="both"/>
              <w:rPr>
                <w:rFonts w:ascii="Times New Roman" w:eastAsia="Times New Roman" w:hAnsi="Times New Roman" w:cs="Times New Roman"/>
                <w:sz w:val="24"/>
                <w:szCs w:val="24"/>
                <w:lang w:eastAsia="en-GB"/>
              </w:rPr>
            </w:pPr>
            <w:r w:rsidRPr="00CF63CF">
              <w:rPr>
                <w:rFonts w:ascii="Times New Roman" w:eastAsia="Calibri" w:hAnsi="Times New Roman" w:cs="Times New Roman"/>
                <w:sz w:val="24"/>
                <w:szCs w:val="24"/>
              </w:rPr>
              <w:t xml:space="preserve">Paredzēts, ka noteikumi stājas spēkā ar 2020.gada 1.decembri un tādejādi līdz </w:t>
            </w:r>
            <w:r w:rsidRPr="00CF63CF">
              <w:rPr>
                <w:rFonts w:ascii="Times New Roman" w:eastAsia="Times New Roman" w:hAnsi="Times New Roman" w:cs="Times New Roman"/>
                <w:sz w:val="24"/>
                <w:szCs w:val="24"/>
                <w:lang w:eastAsia="en-GB"/>
              </w:rPr>
              <w:t>2020.gada 31.decembrim saņemtais maznodrošinātas ģimenes (personas) statuss saglabāsies uz tā piešķiršanas termiņu, bet ne ilgāk kā līdz 2021.gada 30.novembrim, un tas būs pamats ģimenei (personai) valsts un pašvaldības noteikto pabalstu un atvieglojumu saņemšanai.</w:t>
            </w:r>
          </w:p>
          <w:p w:rsidR="00CF63CF" w:rsidRPr="00CF63CF" w:rsidRDefault="00CF63CF" w:rsidP="00CF63CF">
            <w:pPr>
              <w:spacing w:after="0" w:line="240" w:lineRule="auto"/>
              <w:ind w:left="-41"/>
              <w:jc w:val="both"/>
              <w:rPr>
                <w:rFonts w:ascii="Times New Roman" w:eastAsia="Times New Roman" w:hAnsi="Times New Roman" w:cs="Times New Roman"/>
                <w:sz w:val="24"/>
                <w:szCs w:val="24"/>
                <w:lang w:eastAsia="en-GB"/>
              </w:rPr>
            </w:pPr>
            <w:r w:rsidRPr="00CF63CF">
              <w:rPr>
                <w:rFonts w:ascii="Times New Roman" w:eastAsia="Times New Roman" w:hAnsi="Times New Roman" w:cs="Times New Roman"/>
                <w:sz w:val="24"/>
                <w:szCs w:val="24"/>
                <w:lang w:eastAsia="en-GB"/>
              </w:rPr>
              <w:t xml:space="preserve">Ar 2021.gada 1.janvāri stāsies spēkā grozījumi Sociālo pakalpojumu un sociālās palīdzības likumā, kas noteiks citu kārtību maznodrošinātas ģimenes (personas) statusa saņemšanai (piemēram, tiek plānots ka pašvaldībām nebūs tiesību saistošajos noteikumos noteikt tos īpašumus, kas netiek ņemti vērā, piešķirot maznodrošinātas ģimenes (personas) statusu). </w:t>
            </w:r>
          </w:p>
        </w:tc>
      </w:tr>
      <w:tr w:rsidR="00CF63CF" w:rsidRPr="00CF63CF" w:rsidTr="00CF63CF">
        <w:tc>
          <w:tcPr>
            <w:tcW w:w="2491" w:type="dxa"/>
            <w:tcBorders>
              <w:top w:val="single" w:sz="4" w:space="0" w:color="auto"/>
              <w:left w:val="single" w:sz="4" w:space="0" w:color="auto"/>
              <w:bottom w:val="single" w:sz="4" w:space="0" w:color="auto"/>
              <w:right w:val="single" w:sz="4" w:space="0" w:color="auto"/>
            </w:tcBorders>
            <w:hideMark/>
          </w:tcPr>
          <w:p w:rsidR="00CF63CF" w:rsidRPr="00CF63CF" w:rsidRDefault="00CF63CF" w:rsidP="00CF63CF">
            <w:pPr>
              <w:spacing w:after="0" w:line="240" w:lineRule="auto"/>
              <w:rPr>
                <w:rFonts w:ascii="Times New Roman" w:eastAsia="Calibri" w:hAnsi="Times New Roman" w:cs="Times New Roman"/>
                <w:sz w:val="24"/>
                <w:szCs w:val="24"/>
              </w:rPr>
            </w:pPr>
            <w:r w:rsidRPr="00CF63CF">
              <w:rPr>
                <w:rFonts w:ascii="Times New Roman" w:eastAsia="Calibri" w:hAnsi="Times New Roman" w:cs="Times New Roman"/>
                <w:sz w:val="24"/>
                <w:szCs w:val="24"/>
              </w:rPr>
              <w:t>Īss projekta satura izklāsts</w:t>
            </w:r>
          </w:p>
        </w:tc>
        <w:tc>
          <w:tcPr>
            <w:tcW w:w="7205" w:type="dxa"/>
            <w:tcBorders>
              <w:top w:val="single" w:sz="4" w:space="0" w:color="auto"/>
              <w:left w:val="single" w:sz="4" w:space="0" w:color="auto"/>
              <w:bottom w:val="single" w:sz="4" w:space="0" w:color="auto"/>
              <w:right w:val="single" w:sz="4" w:space="0" w:color="auto"/>
            </w:tcBorders>
            <w:hideMark/>
          </w:tcPr>
          <w:p w:rsidR="00CF63CF" w:rsidRPr="00CF63CF" w:rsidRDefault="00CF63CF" w:rsidP="00CF63CF">
            <w:pPr>
              <w:spacing w:after="0" w:line="240" w:lineRule="auto"/>
              <w:ind w:left="-41"/>
              <w:jc w:val="both"/>
              <w:rPr>
                <w:rFonts w:ascii="Times New Roman" w:eastAsia="Calibri" w:hAnsi="Times New Roman" w:cs="Times New Roman"/>
                <w:sz w:val="24"/>
                <w:szCs w:val="24"/>
              </w:rPr>
            </w:pPr>
            <w:r w:rsidRPr="00CF63CF">
              <w:rPr>
                <w:rFonts w:ascii="Times New Roman" w:eastAsia="Calibri" w:hAnsi="Times New Roman" w:cs="Times New Roman"/>
                <w:sz w:val="24"/>
                <w:szCs w:val="24"/>
              </w:rPr>
              <w:t xml:space="preserve">Noteikumi </w:t>
            </w:r>
            <w:r w:rsidRPr="00CF63CF">
              <w:rPr>
                <w:rFonts w:ascii="Times New Roman" w:eastAsia="Calibri" w:hAnsi="Times New Roman" w:cs="Times New Roman"/>
                <w:sz w:val="24"/>
                <w:szCs w:val="24"/>
                <w:lang w:eastAsia="lv-LV"/>
              </w:rPr>
              <w:t xml:space="preserve">paredz </w:t>
            </w:r>
            <w:r w:rsidRPr="00CF63CF">
              <w:rPr>
                <w:rFonts w:ascii="Times New Roman" w:eastAsia="Calibri" w:hAnsi="Times New Roman" w:cs="Times New Roman"/>
                <w:sz w:val="24"/>
                <w:szCs w:val="24"/>
              </w:rPr>
              <w:t>gro</w:t>
            </w:r>
            <w:r w:rsidRPr="00CF63CF">
              <w:rPr>
                <w:rFonts w:ascii="Times New Roman" w:eastAsia="Calibri" w:hAnsi="Times New Roman" w:cs="Times New Roman"/>
                <w:sz w:val="24"/>
                <w:szCs w:val="24"/>
                <w:lang w:eastAsia="lv-LV"/>
              </w:rPr>
              <w:t xml:space="preserve">zījumu </w:t>
            </w:r>
            <w:r w:rsidRPr="00CF63CF">
              <w:rPr>
                <w:rFonts w:ascii="Times New Roman" w:eastAsia="Calibri" w:hAnsi="Times New Roman" w:cs="Times New Roman"/>
                <w:sz w:val="24"/>
                <w:szCs w:val="24"/>
              </w:rPr>
              <w:t>3.punktā un 3.1.apakšpunktā un nosaka, ka tie stājas spēkā ar 2020.gada 1.decembri.</w:t>
            </w:r>
          </w:p>
        </w:tc>
      </w:tr>
      <w:tr w:rsidR="00CF63CF" w:rsidRPr="00CF63CF" w:rsidTr="00CF63CF">
        <w:tc>
          <w:tcPr>
            <w:tcW w:w="2491" w:type="dxa"/>
            <w:tcBorders>
              <w:top w:val="single" w:sz="4" w:space="0" w:color="auto"/>
              <w:left w:val="single" w:sz="4" w:space="0" w:color="auto"/>
              <w:bottom w:val="single" w:sz="4" w:space="0" w:color="auto"/>
              <w:right w:val="single" w:sz="4" w:space="0" w:color="auto"/>
            </w:tcBorders>
            <w:hideMark/>
          </w:tcPr>
          <w:p w:rsidR="00CF63CF" w:rsidRPr="00CF63CF" w:rsidRDefault="00CF63CF" w:rsidP="00CF63CF">
            <w:pPr>
              <w:spacing w:after="0" w:line="240" w:lineRule="auto"/>
              <w:rPr>
                <w:rFonts w:ascii="Times New Roman" w:eastAsia="Calibri" w:hAnsi="Times New Roman" w:cs="Times New Roman"/>
                <w:sz w:val="24"/>
                <w:szCs w:val="24"/>
              </w:rPr>
            </w:pPr>
            <w:r w:rsidRPr="00CF63CF">
              <w:rPr>
                <w:rFonts w:ascii="Times New Roman" w:eastAsia="Calibri" w:hAnsi="Times New Roman" w:cs="Times New Roman"/>
                <w:sz w:val="24"/>
                <w:szCs w:val="24"/>
              </w:rPr>
              <w:t>Informācija par plānoto projekta ietekmi uz pašvaldības budžetu</w:t>
            </w:r>
          </w:p>
        </w:tc>
        <w:tc>
          <w:tcPr>
            <w:tcW w:w="7205" w:type="dxa"/>
            <w:tcBorders>
              <w:top w:val="single" w:sz="4" w:space="0" w:color="auto"/>
              <w:left w:val="single" w:sz="4" w:space="0" w:color="auto"/>
              <w:bottom w:val="single" w:sz="4" w:space="0" w:color="auto"/>
              <w:right w:val="single" w:sz="4" w:space="0" w:color="auto"/>
            </w:tcBorders>
            <w:hideMark/>
          </w:tcPr>
          <w:p w:rsidR="00CF63CF" w:rsidRPr="00CF63CF" w:rsidRDefault="00CF63CF" w:rsidP="00CF63CF">
            <w:pPr>
              <w:spacing w:after="0" w:line="240" w:lineRule="auto"/>
              <w:ind w:left="-41"/>
              <w:jc w:val="both"/>
              <w:rPr>
                <w:rFonts w:ascii="Times New Roman" w:eastAsia="Times New Roman" w:hAnsi="Times New Roman" w:cs="Times New Roman"/>
                <w:sz w:val="24"/>
                <w:szCs w:val="24"/>
                <w:lang w:eastAsia="en-GB"/>
              </w:rPr>
            </w:pPr>
            <w:r w:rsidRPr="00CF63CF">
              <w:rPr>
                <w:rFonts w:ascii="Times New Roman" w:eastAsia="Times New Roman" w:hAnsi="Times New Roman" w:cs="Times New Roman"/>
                <w:sz w:val="24"/>
                <w:szCs w:val="24"/>
                <w:lang w:eastAsia="en-GB"/>
              </w:rPr>
              <w:t>Noteikumi tiks īstenoti Sociālajam dienestam piešķirto budžeta līdzekļu ietvaros.</w:t>
            </w:r>
          </w:p>
          <w:p w:rsidR="00CF63CF" w:rsidRPr="00CF63CF" w:rsidRDefault="00CF63CF" w:rsidP="00CF63CF">
            <w:pPr>
              <w:spacing w:after="0" w:line="240" w:lineRule="auto"/>
              <w:ind w:left="-41"/>
              <w:jc w:val="both"/>
              <w:rPr>
                <w:rFonts w:ascii="Times New Roman" w:eastAsia="Times New Roman" w:hAnsi="Times New Roman" w:cs="Times New Roman"/>
                <w:i/>
                <w:sz w:val="24"/>
                <w:szCs w:val="24"/>
                <w:lang w:eastAsia="en-GB"/>
              </w:rPr>
            </w:pPr>
            <w:r w:rsidRPr="00CF63CF">
              <w:rPr>
                <w:rFonts w:ascii="Times New Roman" w:eastAsia="Times New Roman" w:hAnsi="Times New Roman" w:cs="Times New Roman"/>
                <w:sz w:val="24"/>
                <w:szCs w:val="24"/>
                <w:lang w:eastAsia="en-GB"/>
              </w:rPr>
              <w:t xml:space="preserve">Noteikumi pozitīvi ietekmēs aptuveni  600 ģimenes. </w:t>
            </w:r>
          </w:p>
        </w:tc>
      </w:tr>
      <w:tr w:rsidR="00CF63CF" w:rsidRPr="00CF63CF" w:rsidTr="00CF63CF">
        <w:tc>
          <w:tcPr>
            <w:tcW w:w="2491" w:type="dxa"/>
            <w:tcBorders>
              <w:top w:val="single" w:sz="4" w:space="0" w:color="auto"/>
              <w:left w:val="single" w:sz="4" w:space="0" w:color="auto"/>
              <w:bottom w:val="single" w:sz="4" w:space="0" w:color="auto"/>
              <w:right w:val="single" w:sz="4" w:space="0" w:color="auto"/>
            </w:tcBorders>
            <w:hideMark/>
          </w:tcPr>
          <w:p w:rsidR="00CF63CF" w:rsidRPr="00CF63CF" w:rsidRDefault="00CF63CF" w:rsidP="00CF63CF">
            <w:pPr>
              <w:spacing w:after="0" w:line="240" w:lineRule="auto"/>
              <w:rPr>
                <w:rFonts w:ascii="Times New Roman" w:eastAsia="Calibri" w:hAnsi="Times New Roman" w:cs="Times New Roman"/>
                <w:sz w:val="24"/>
                <w:szCs w:val="24"/>
              </w:rPr>
            </w:pPr>
            <w:r w:rsidRPr="00CF63CF">
              <w:rPr>
                <w:rFonts w:ascii="Times New Roman" w:eastAsia="Calibri" w:hAnsi="Times New Roman" w:cs="Times New Roman"/>
                <w:sz w:val="24"/>
                <w:szCs w:val="24"/>
              </w:rPr>
              <w:t>Informācija par plānoto projekta ietekmi uz uzņēmējdarbības vidi pašvaldības teritorijā</w:t>
            </w:r>
          </w:p>
        </w:tc>
        <w:tc>
          <w:tcPr>
            <w:tcW w:w="7205" w:type="dxa"/>
            <w:tcBorders>
              <w:top w:val="single" w:sz="4" w:space="0" w:color="auto"/>
              <w:left w:val="single" w:sz="4" w:space="0" w:color="auto"/>
              <w:bottom w:val="single" w:sz="4" w:space="0" w:color="auto"/>
              <w:right w:val="single" w:sz="4" w:space="0" w:color="auto"/>
            </w:tcBorders>
            <w:hideMark/>
          </w:tcPr>
          <w:p w:rsidR="00CF63CF" w:rsidRPr="00CF63CF" w:rsidRDefault="00CF63CF" w:rsidP="00CF63CF">
            <w:pPr>
              <w:spacing w:after="0" w:line="240" w:lineRule="auto"/>
              <w:ind w:left="-41"/>
              <w:jc w:val="both"/>
              <w:rPr>
                <w:rFonts w:ascii="Times New Roman" w:eastAsia="Calibri" w:hAnsi="Times New Roman" w:cs="Times New Roman"/>
                <w:sz w:val="24"/>
                <w:szCs w:val="24"/>
              </w:rPr>
            </w:pPr>
            <w:r w:rsidRPr="00CF63CF">
              <w:rPr>
                <w:rFonts w:ascii="Times New Roman" w:eastAsia="Calibri" w:hAnsi="Times New Roman" w:cs="Times New Roman"/>
                <w:sz w:val="24"/>
                <w:szCs w:val="24"/>
              </w:rPr>
              <w:t>Nav attiecināms.</w:t>
            </w:r>
          </w:p>
        </w:tc>
      </w:tr>
      <w:tr w:rsidR="00CF63CF" w:rsidRPr="00CF63CF" w:rsidTr="00CF63CF">
        <w:tc>
          <w:tcPr>
            <w:tcW w:w="2491" w:type="dxa"/>
            <w:tcBorders>
              <w:top w:val="single" w:sz="4" w:space="0" w:color="auto"/>
              <w:left w:val="single" w:sz="4" w:space="0" w:color="auto"/>
              <w:bottom w:val="single" w:sz="4" w:space="0" w:color="auto"/>
              <w:right w:val="single" w:sz="4" w:space="0" w:color="auto"/>
            </w:tcBorders>
            <w:hideMark/>
          </w:tcPr>
          <w:p w:rsidR="00CF63CF" w:rsidRPr="00CF63CF" w:rsidRDefault="00CF63CF" w:rsidP="00CF63CF">
            <w:pPr>
              <w:spacing w:after="0" w:line="240" w:lineRule="auto"/>
              <w:rPr>
                <w:rFonts w:ascii="Times New Roman" w:eastAsia="Calibri" w:hAnsi="Times New Roman" w:cs="Times New Roman"/>
                <w:sz w:val="24"/>
                <w:szCs w:val="24"/>
              </w:rPr>
            </w:pPr>
            <w:r w:rsidRPr="00CF63CF">
              <w:rPr>
                <w:rFonts w:ascii="Times New Roman" w:eastAsia="Calibri" w:hAnsi="Times New Roman" w:cs="Times New Roman"/>
                <w:sz w:val="24"/>
                <w:szCs w:val="24"/>
              </w:rPr>
              <w:t>Informācija par administratīvajām procedūrām</w:t>
            </w:r>
          </w:p>
        </w:tc>
        <w:tc>
          <w:tcPr>
            <w:tcW w:w="7205" w:type="dxa"/>
            <w:tcBorders>
              <w:top w:val="single" w:sz="4" w:space="0" w:color="auto"/>
              <w:left w:val="single" w:sz="4" w:space="0" w:color="auto"/>
              <w:bottom w:val="single" w:sz="4" w:space="0" w:color="auto"/>
              <w:right w:val="single" w:sz="4" w:space="0" w:color="auto"/>
            </w:tcBorders>
            <w:hideMark/>
          </w:tcPr>
          <w:p w:rsidR="00CF63CF" w:rsidRPr="00CF63CF" w:rsidRDefault="00CF63CF" w:rsidP="00CF63CF">
            <w:pPr>
              <w:spacing w:after="0" w:line="240" w:lineRule="auto"/>
              <w:ind w:left="-41"/>
              <w:jc w:val="both"/>
              <w:rPr>
                <w:rFonts w:ascii="Times New Roman" w:eastAsia="Calibri" w:hAnsi="Times New Roman" w:cs="Times New Roman"/>
                <w:sz w:val="24"/>
                <w:szCs w:val="24"/>
              </w:rPr>
            </w:pPr>
            <w:r w:rsidRPr="00CF63CF">
              <w:rPr>
                <w:rFonts w:ascii="Times New Roman" w:eastAsia="Calibri" w:hAnsi="Times New Roman" w:cs="Times New Roman"/>
                <w:sz w:val="24"/>
                <w:szCs w:val="24"/>
              </w:rPr>
              <w:t>Netiek mainītas.</w:t>
            </w:r>
          </w:p>
        </w:tc>
      </w:tr>
      <w:tr w:rsidR="00CF63CF" w:rsidRPr="00CF63CF" w:rsidTr="00CF63CF">
        <w:tc>
          <w:tcPr>
            <w:tcW w:w="2491" w:type="dxa"/>
            <w:tcBorders>
              <w:top w:val="single" w:sz="4" w:space="0" w:color="auto"/>
              <w:left w:val="single" w:sz="4" w:space="0" w:color="auto"/>
              <w:bottom w:val="single" w:sz="4" w:space="0" w:color="auto"/>
              <w:right w:val="single" w:sz="4" w:space="0" w:color="auto"/>
            </w:tcBorders>
            <w:hideMark/>
          </w:tcPr>
          <w:p w:rsidR="00CF63CF" w:rsidRPr="00CF63CF" w:rsidRDefault="00CF63CF" w:rsidP="00CF63CF">
            <w:pPr>
              <w:spacing w:after="0" w:line="240" w:lineRule="auto"/>
              <w:rPr>
                <w:rFonts w:ascii="Times New Roman" w:eastAsia="Calibri" w:hAnsi="Times New Roman" w:cs="Times New Roman"/>
                <w:sz w:val="24"/>
                <w:szCs w:val="24"/>
              </w:rPr>
            </w:pPr>
            <w:r w:rsidRPr="00CF63CF">
              <w:rPr>
                <w:rFonts w:ascii="Times New Roman" w:eastAsia="Calibri" w:hAnsi="Times New Roman" w:cs="Times New Roman"/>
                <w:sz w:val="24"/>
                <w:szCs w:val="24"/>
              </w:rPr>
              <w:t>Informācija par konsultācijām ar privātpersonām</w:t>
            </w:r>
          </w:p>
        </w:tc>
        <w:tc>
          <w:tcPr>
            <w:tcW w:w="7205" w:type="dxa"/>
            <w:tcBorders>
              <w:top w:val="single" w:sz="4" w:space="0" w:color="auto"/>
              <w:left w:val="single" w:sz="4" w:space="0" w:color="auto"/>
              <w:bottom w:val="single" w:sz="4" w:space="0" w:color="auto"/>
              <w:right w:val="single" w:sz="4" w:space="0" w:color="auto"/>
            </w:tcBorders>
            <w:hideMark/>
          </w:tcPr>
          <w:p w:rsidR="00CF63CF" w:rsidRPr="00CF63CF" w:rsidRDefault="00CF63CF" w:rsidP="00CF63CF">
            <w:pPr>
              <w:spacing w:after="0" w:line="240" w:lineRule="auto"/>
              <w:ind w:left="-41"/>
              <w:jc w:val="both"/>
              <w:rPr>
                <w:rFonts w:ascii="Times New Roman" w:eastAsia="Calibri" w:hAnsi="Times New Roman" w:cs="Times New Roman"/>
                <w:sz w:val="24"/>
                <w:szCs w:val="24"/>
              </w:rPr>
            </w:pPr>
            <w:r w:rsidRPr="00CF63CF">
              <w:rPr>
                <w:rFonts w:ascii="Times New Roman" w:eastAsia="Calibri" w:hAnsi="Times New Roman" w:cs="Times New Roman"/>
                <w:sz w:val="24"/>
                <w:szCs w:val="24"/>
              </w:rPr>
              <w:t>Nav notikušas.</w:t>
            </w:r>
          </w:p>
        </w:tc>
      </w:tr>
    </w:tbl>
    <w:p w:rsidR="00CF63CF" w:rsidRPr="00CF63CF" w:rsidRDefault="00CF63CF" w:rsidP="00CF63CF">
      <w:pPr>
        <w:spacing w:after="0" w:line="240" w:lineRule="auto"/>
        <w:jc w:val="both"/>
        <w:rPr>
          <w:rFonts w:ascii="Times New Roman" w:eastAsia="Calibri" w:hAnsi="Times New Roman" w:cs="Times New Roman"/>
          <w:sz w:val="24"/>
          <w:szCs w:val="24"/>
        </w:rPr>
      </w:pPr>
    </w:p>
    <w:p w:rsidR="00363BF4" w:rsidRDefault="00363BF4" w:rsidP="00363BF4">
      <w:pPr>
        <w:spacing w:after="0" w:line="240" w:lineRule="auto"/>
        <w:jc w:val="both"/>
        <w:rPr>
          <w:rFonts w:ascii="Times New Roman" w:eastAsia="Calibri" w:hAnsi="Times New Roman" w:cs="Times New Roman"/>
          <w:sz w:val="24"/>
          <w:szCs w:val="24"/>
        </w:rPr>
      </w:pPr>
    </w:p>
    <w:p w:rsidR="00180B17" w:rsidRPr="00180B17" w:rsidRDefault="00180B17" w:rsidP="00363BF4">
      <w:pPr>
        <w:spacing w:after="0" w:line="240" w:lineRule="auto"/>
        <w:jc w:val="both"/>
        <w:rPr>
          <w:rFonts w:ascii="Calibri" w:eastAsia="Calibri" w:hAnsi="Calibri" w:cs="Times New Roman"/>
        </w:rPr>
      </w:pPr>
      <w:r>
        <w:rPr>
          <w:rFonts w:ascii="Times New Roman" w:eastAsia="Calibri" w:hAnsi="Times New Roman" w:cs="Times New Roman"/>
          <w:sz w:val="24"/>
          <w:szCs w:val="24"/>
        </w:rPr>
        <w:t>D</w:t>
      </w:r>
      <w:r w:rsidRPr="00180B17">
        <w:rPr>
          <w:rFonts w:ascii="Times New Roman" w:eastAsia="Calibri" w:hAnsi="Times New Roman" w:cs="Times New Roman"/>
          <w:sz w:val="24"/>
          <w:szCs w:val="24"/>
        </w:rPr>
        <w:t xml:space="preserve">omes priekšsēdētājs                 </w:t>
      </w:r>
      <w:r w:rsidRPr="00180B17">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180B17">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180B17">
        <w:rPr>
          <w:rFonts w:ascii="Times New Roman" w:eastAsia="Calibri" w:hAnsi="Times New Roman" w:cs="Times New Roman"/>
          <w:sz w:val="24"/>
          <w:szCs w:val="24"/>
        </w:rPr>
        <w:t xml:space="preserve">                 I.Prelatovs</w:t>
      </w:r>
    </w:p>
    <w:p w:rsidR="00363BF4" w:rsidRDefault="00363BF4" w:rsidP="00363BF4">
      <w:pPr>
        <w:spacing w:after="0" w:line="240" w:lineRule="auto"/>
        <w:rPr>
          <w:rFonts w:ascii="Times New Roman" w:eastAsia="Times New Roman" w:hAnsi="Times New Roman" w:cs="Times New Roman"/>
          <w:bCs/>
          <w:i/>
          <w:lang w:eastAsia="x-none"/>
        </w:rPr>
      </w:pPr>
    </w:p>
    <w:p w:rsidR="00363BF4" w:rsidRDefault="00363BF4" w:rsidP="00363BF4">
      <w:pPr>
        <w:spacing w:after="0" w:line="240" w:lineRule="auto"/>
        <w:rPr>
          <w:rFonts w:ascii="Times New Roman" w:eastAsia="Times New Roman" w:hAnsi="Times New Roman" w:cs="Times New Roman"/>
          <w:bCs/>
          <w:i/>
          <w:lang w:eastAsia="x-none"/>
        </w:rPr>
      </w:pPr>
    </w:p>
    <w:p w:rsidR="00363BF4" w:rsidRPr="00363BF4" w:rsidRDefault="00363BF4" w:rsidP="00363BF4">
      <w:pPr>
        <w:spacing w:after="0" w:line="240" w:lineRule="auto"/>
        <w:rPr>
          <w:rFonts w:ascii="Times New Roman" w:eastAsia="Times New Roman" w:hAnsi="Times New Roman" w:cs="Times New Roman"/>
          <w:sz w:val="24"/>
          <w:szCs w:val="24"/>
          <w:lang w:eastAsia="ru-RU"/>
        </w:rPr>
      </w:pPr>
      <w:r w:rsidRPr="00363BF4">
        <w:rPr>
          <w:rFonts w:ascii="Times New Roman" w:eastAsia="Times New Roman" w:hAnsi="Times New Roman" w:cs="Times New Roman"/>
          <w:bCs/>
          <w:i/>
          <w:lang w:eastAsia="x-none"/>
        </w:rPr>
        <w:t>Dokuments ir parakstīts ar drošu elektronisko parakstu un satur laika zīmogu</w:t>
      </w:r>
      <w:bookmarkStart w:id="0" w:name="_GoBack"/>
      <w:bookmarkEnd w:id="0"/>
    </w:p>
    <w:sectPr w:rsidR="00363BF4" w:rsidRPr="00363BF4" w:rsidSect="00363BF4">
      <w:pgSz w:w="11906" w:h="16838"/>
      <w:pgMar w:top="1134" w:right="113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17"/>
    <w:rsid w:val="00180B17"/>
    <w:rsid w:val="001A0226"/>
    <w:rsid w:val="00241A73"/>
    <w:rsid w:val="00363BF4"/>
    <w:rsid w:val="0090366A"/>
    <w:rsid w:val="00CF63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5718A-D244-49B4-AFC4-4D7E4934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272020-gimenes-vai-atseviski-dzivojosas-personas-atzisana-par-maznodrosinatu" TargetMode="External"/><Relationship Id="rId4" Type="http://schemas.openxmlformats.org/officeDocument/2006/relationships/hyperlink" Target="https://likumi.lv/ta/id/272020-gimenes-vai-atseviski-dzivojosas-personas-atzisana-par-maznodrosina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1979</Words>
  <Characters>1129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Inesa Sindina</dc:creator>
  <cp:keywords/>
  <dc:description/>
  <cp:lastModifiedBy>Inesa Sindina</cp:lastModifiedBy>
  <cp:revision>4</cp:revision>
  <dcterms:created xsi:type="dcterms:W3CDTF">2020-11-20T06:07:00Z</dcterms:created>
  <dcterms:modified xsi:type="dcterms:W3CDTF">2020-11-20T08:20:00Z</dcterms:modified>
</cp:coreProperties>
</file>