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DF" w:rsidRPr="00204EB1" w:rsidRDefault="009057A6" w:rsidP="00E03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pilsētas domes 2019</w:t>
      </w:r>
      <w:r w:rsidR="00E03CD8">
        <w:rPr>
          <w:rFonts w:ascii="Times New Roman" w:hAnsi="Times New Roman"/>
          <w:b/>
          <w:sz w:val="24"/>
          <w:szCs w:val="24"/>
        </w:rPr>
        <w:t>.gada 26.septembra saistošo noteikumu Nr.22</w:t>
      </w:r>
      <w:r w:rsidR="001D0DDF" w:rsidRPr="00204EB1">
        <w:rPr>
          <w:rFonts w:ascii="Times New Roman" w:hAnsi="Times New Roman"/>
          <w:b/>
          <w:sz w:val="24"/>
          <w:szCs w:val="24"/>
        </w:rPr>
        <w:t xml:space="preserve"> “Grozījumi Daugavpils pilsētas domes 2008.gada 31.janvāra saistošajos noteikumos Nr.2 “Pašvaldības stipendijas piešķiršanas kārtība”” paskaidrojuma raksts</w:t>
      </w:r>
    </w:p>
    <w:p w:rsidR="001D0DDF" w:rsidRPr="00204EB1" w:rsidRDefault="001D0DDF" w:rsidP="00E03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327"/>
      </w:tblGrid>
      <w:tr w:rsidR="001D0DDF" w:rsidRPr="00204EB1" w:rsidTr="006E22C0">
        <w:tc>
          <w:tcPr>
            <w:tcW w:w="4077" w:type="dxa"/>
            <w:shd w:val="clear" w:color="auto" w:fill="auto"/>
          </w:tcPr>
          <w:p w:rsidR="001D0DDF" w:rsidRPr="00204EB1" w:rsidRDefault="001D0DDF" w:rsidP="00E03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hAnsi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5529" w:type="dxa"/>
            <w:shd w:val="clear" w:color="auto" w:fill="auto"/>
          </w:tcPr>
          <w:p w:rsidR="001D0DDF" w:rsidRPr="00204EB1" w:rsidRDefault="001D0DDF" w:rsidP="00E03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1D0DDF" w:rsidRPr="00204EB1" w:rsidTr="006E22C0">
        <w:tc>
          <w:tcPr>
            <w:tcW w:w="4077" w:type="dxa"/>
            <w:shd w:val="clear" w:color="auto" w:fill="auto"/>
          </w:tcPr>
          <w:p w:rsidR="001D0DDF" w:rsidRPr="00204EB1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204EB1">
              <w:rPr>
                <w:rFonts w:ascii="Times New Roman" w:hAnsi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5529" w:type="dxa"/>
            <w:shd w:val="clear" w:color="auto" w:fill="auto"/>
          </w:tcPr>
          <w:p w:rsidR="001D0DDF" w:rsidRDefault="001D0DDF" w:rsidP="00E0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B1">
              <w:rPr>
                <w:rFonts w:ascii="Times New Roman" w:hAnsi="Times New Roman"/>
                <w:sz w:val="24"/>
                <w:szCs w:val="24"/>
              </w:rPr>
              <w:t xml:space="preserve">Izpildot likuma “Par pašvaldībām” 15.panta pirmās daļas 6.punktā noteikto pašvaldības funkciju nodrošināt veselības aprūpes pieejamību un īstenojot brīvprātīgo iniciatīvu izpildi,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ņemot vērā </w:t>
            </w:r>
            <w:r w:rsidR="00D328A9">
              <w:rPr>
                <w:rFonts w:ascii="Times New Roman" w:hAnsi="Times New Roman"/>
                <w:sz w:val="24"/>
                <w:szCs w:val="24"/>
              </w:rPr>
              <w:t>funkcionālo speciālistu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trūkumu Daugavpilī,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 xml:space="preserve"> nepieciešams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veikt pasākumus</w:t>
            </w:r>
            <w:r w:rsidR="00D328A9">
              <w:rPr>
                <w:rFonts w:ascii="Times New Roman" w:hAnsi="Times New Roman"/>
                <w:sz w:val="24"/>
                <w:szCs w:val="24"/>
              </w:rPr>
              <w:t xml:space="preserve"> funkcionālo speciālistu 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>piesaist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 xml:space="preserve"> darbam Daugavpil</w:t>
            </w:r>
            <w:r>
              <w:rPr>
                <w:rFonts w:ascii="Times New Roman" w:hAnsi="Times New Roman"/>
                <w:sz w:val="24"/>
                <w:szCs w:val="24"/>
              </w:rPr>
              <w:t>ī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CD8" w:rsidRPr="00204EB1" w:rsidRDefault="00E03CD8" w:rsidP="00E0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DF" w:rsidRPr="001A45E8" w:rsidTr="006E22C0">
        <w:tc>
          <w:tcPr>
            <w:tcW w:w="4077" w:type="dxa"/>
            <w:shd w:val="clear" w:color="auto" w:fill="auto"/>
          </w:tcPr>
          <w:p w:rsidR="001D0DDF" w:rsidRPr="001A45E8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Īss projekta satur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A45E8">
              <w:rPr>
                <w:rFonts w:ascii="Times New Roman" w:hAnsi="Times New Roman"/>
                <w:sz w:val="24"/>
                <w:szCs w:val="24"/>
              </w:rPr>
              <w:t xml:space="preserve"> izklāsts</w:t>
            </w:r>
          </w:p>
        </w:tc>
        <w:tc>
          <w:tcPr>
            <w:tcW w:w="5529" w:type="dxa"/>
            <w:shd w:val="clear" w:color="auto" w:fill="auto"/>
          </w:tcPr>
          <w:p w:rsidR="001D0DDF" w:rsidRDefault="001D0DDF" w:rsidP="00E03CD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grozījumiem paredzēts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piešķirt</w:t>
            </w:r>
            <w:r w:rsidRPr="00206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stipendiju </w:t>
            </w:r>
            <w:r w:rsidR="009057A6">
              <w:rPr>
                <w:rFonts w:ascii="Times New Roman" w:eastAsia="Times New Roman" w:hAnsi="Times New Roman"/>
                <w:sz w:val="24"/>
                <w:szCs w:val="24"/>
              </w:rPr>
              <w:t xml:space="preserve">220 </w:t>
            </w:r>
            <w:r w:rsidR="00E03CD8" w:rsidRPr="00E03CD8"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  <w:r w:rsidRPr="00E03C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apmērā</w:t>
            </w:r>
            <w:r w:rsidR="00970BD2">
              <w:rPr>
                <w:rFonts w:ascii="Times New Roman" w:eastAsia="Times New Roman" w:hAnsi="Times New Roman"/>
                <w:sz w:val="24"/>
                <w:szCs w:val="24"/>
              </w:rPr>
              <w:t xml:space="preserve"> studenta</w:t>
            </w:r>
            <w:r w:rsidR="009057A6">
              <w:rPr>
                <w:rFonts w:ascii="Times New Roman" w:eastAsia="Times New Roman" w:hAnsi="Times New Roman"/>
                <w:sz w:val="24"/>
                <w:szCs w:val="24"/>
              </w:rPr>
              <w:t>m,</w:t>
            </w:r>
            <w:r w:rsidRPr="00206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57A6" w:rsidRPr="009057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kas apgūst akreditētu profesionālā bakalaura studiju programmu attiecīgajā funkci</w:t>
            </w:r>
            <w:r w:rsidR="00970BD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onālo speciālistu specialitātē un </w:t>
            </w:r>
            <w:r w:rsidR="00D328A9" w:rsidRPr="009057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kas noslēdzis līgumu</w:t>
            </w:r>
            <w:r w:rsidR="00D328A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kapitālsabiedrību, kurā pašvaldībai pieder ne mazāk kā 50% kapitāla daļu</w:t>
            </w:r>
            <w:r w:rsidR="003D3C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D328A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valsts kapitālsabiedrību, kuras sniedz veselības aprūpes pakalpojumus, </w:t>
            </w:r>
            <w:r w:rsidR="00D328A9" w:rsidRPr="009057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 pašvaldības budžeta iestādi, kurā</w:t>
            </w:r>
            <w:r w:rsidR="003D3C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D328A9" w:rsidRPr="009057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apņemas nostrādāt pēc studiju programmas bei</w:t>
            </w:r>
            <w:r w:rsidR="00B64E2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gšanas vismaz turpmākos 5 gadus.</w:t>
            </w:r>
          </w:p>
          <w:p w:rsidR="00B64E26" w:rsidRPr="00970BD2" w:rsidRDefault="00B64E26" w:rsidP="00E03CD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A6947" w:rsidRPr="001A45E8" w:rsidTr="006E22C0">
        <w:tc>
          <w:tcPr>
            <w:tcW w:w="4077" w:type="dxa"/>
            <w:shd w:val="clear" w:color="auto" w:fill="auto"/>
          </w:tcPr>
          <w:p w:rsidR="006A6947" w:rsidRPr="001A45E8" w:rsidRDefault="006A6947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A6947" w:rsidRDefault="006A6947" w:rsidP="00E03CD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DF" w:rsidRPr="001A45E8" w:rsidTr="006E22C0">
        <w:tc>
          <w:tcPr>
            <w:tcW w:w="4077" w:type="dxa"/>
            <w:shd w:val="clear" w:color="auto" w:fill="auto"/>
          </w:tcPr>
          <w:p w:rsidR="001D0DDF" w:rsidRPr="001A45E8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Informācija par plānoto projekta ietekmi uz pašvaldības budžetu</w:t>
            </w:r>
          </w:p>
        </w:tc>
        <w:tc>
          <w:tcPr>
            <w:tcW w:w="5529" w:type="dxa"/>
            <w:shd w:val="clear" w:color="auto" w:fill="auto"/>
          </w:tcPr>
          <w:p w:rsidR="001D0DDF" w:rsidRDefault="001D0DDF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0825">
              <w:rPr>
                <w:rFonts w:ascii="Times New Roman" w:hAnsi="Times New Roman"/>
                <w:sz w:val="24"/>
                <w:szCs w:val="24"/>
              </w:rPr>
              <w:t>Saistošo noteikumu izpilde notiks pašvaldības budžeta ietvaros.</w:t>
            </w:r>
          </w:p>
          <w:p w:rsidR="00E03CD8" w:rsidRPr="001A45E8" w:rsidRDefault="00E03CD8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DF" w:rsidRPr="001A45E8" w:rsidTr="006E22C0">
        <w:tc>
          <w:tcPr>
            <w:tcW w:w="4077" w:type="dxa"/>
            <w:shd w:val="clear" w:color="auto" w:fill="auto"/>
          </w:tcPr>
          <w:p w:rsidR="001D0DDF" w:rsidRPr="001A45E8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5529" w:type="dxa"/>
            <w:shd w:val="clear" w:color="auto" w:fill="auto"/>
          </w:tcPr>
          <w:p w:rsidR="001D0DDF" w:rsidRPr="001A45E8" w:rsidRDefault="001D0DDF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Nav attiecināms.</w:t>
            </w:r>
          </w:p>
        </w:tc>
      </w:tr>
      <w:tr w:rsidR="001D0DDF" w:rsidRPr="001A45E8" w:rsidTr="006E22C0">
        <w:tc>
          <w:tcPr>
            <w:tcW w:w="4077" w:type="dxa"/>
            <w:shd w:val="clear" w:color="auto" w:fill="auto"/>
          </w:tcPr>
          <w:p w:rsidR="001D0DDF" w:rsidRPr="001A45E8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Informācija par administratīvajām procedūrām</w:t>
            </w:r>
          </w:p>
        </w:tc>
        <w:tc>
          <w:tcPr>
            <w:tcW w:w="5529" w:type="dxa"/>
            <w:shd w:val="clear" w:color="auto" w:fill="auto"/>
          </w:tcPr>
          <w:p w:rsidR="001D0DDF" w:rsidRPr="001A45E8" w:rsidRDefault="001D0DDF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Administratīvās procedūras netiek mainītas.</w:t>
            </w:r>
          </w:p>
        </w:tc>
      </w:tr>
      <w:tr w:rsidR="001D0DDF" w:rsidRPr="001A45E8" w:rsidTr="006E22C0">
        <w:tc>
          <w:tcPr>
            <w:tcW w:w="4077" w:type="dxa"/>
            <w:shd w:val="clear" w:color="auto" w:fill="auto"/>
          </w:tcPr>
          <w:p w:rsidR="001D0DDF" w:rsidRPr="001A45E8" w:rsidRDefault="001D0DDF" w:rsidP="00E03CD8">
            <w:pPr>
              <w:numPr>
                <w:ilvl w:val="0"/>
                <w:numId w:val="1"/>
              </w:numPr>
              <w:spacing w:after="0" w:line="240" w:lineRule="auto"/>
              <w:ind w:left="142" w:hanging="218"/>
              <w:rPr>
                <w:rFonts w:ascii="Times New Roman" w:hAnsi="Times New Roman"/>
                <w:sz w:val="24"/>
                <w:szCs w:val="24"/>
              </w:rPr>
            </w:pPr>
            <w:r w:rsidRPr="001A45E8">
              <w:rPr>
                <w:rFonts w:ascii="Times New Roman" w:hAnsi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5529" w:type="dxa"/>
            <w:shd w:val="clear" w:color="auto" w:fill="auto"/>
          </w:tcPr>
          <w:p w:rsidR="001D0DDF" w:rsidRDefault="001D0DDF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0825">
              <w:rPr>
                <w:rFonts w:ascii="Times New Roman" w:hAnsi="Times New Roman"/>
                <w:sz w:val="24"/>
                <w:szCs w:val="24"/>
              </w:rPr>
              <w:t>Konsultācijas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otikušas ar </w:t>
            </w:r>
            <w:r w:rsidRPr="00D328A9"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="00D328A9" w:rsidRPr="00D328A9">
              <w:rPr>
                <w:rFonts w:ascii="Times New Roman" w:hAnsi="Times New Roman"/>
                <w:sz w:val="24"/>
                <w:szCs w:val="24"/>
              </w:rPr>
              <w:t>ārstniecības iestādēm</w:t>
            </w:r>
            <w:r w:rsidRPr="00D328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68D">
              <w:rPr>
                <w:rFonts w:ascii="Times New Roman" w:hAnsi="Times New Roman"/>
                <w:sz w:val="24"/>
                <w:szCs w:val="24"/>
              </w:rPr>
              <w:t>Sociālo dienestu.</w:t>
            </w:r>
          </w:p>
          <w:p w:rsidR="00E03CD8" w:rsidRPr="001A45E8" w:rsidRDefault="00E03CD8" w:rsidP="00E03CD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CD8" w:rsidRDefault="00E03CD8" w:rsidP="00E03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CD8" w:rsidRDefault="00E03CD8" w:rsidP="00E03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DDF" w:rsidRPr="00F831F3" w:rsidRDefault="00E03CD8" w:rsidP="00EF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CD8">
        <w:rPr>
          <w:rFonts w:ascii="Times New Roman" w:hAnsi="Times New Roman"/>
          <w:sz w:val="24"/>
          <w:szCs w:val="24"/>
        </w:rPr>
        <w:t>D</w:t>
      </w:r>
      <w:r w:rsidR="001D0DDF" w:rsidRPr="00E03CD8">
        <w:rPr>
          <w:rFonts w:ascii="Times New Roman" w:hAnsi="Times New Roman"/>
          <w:sz w:val="24"/>
          <w:szCs w:val="24"/>
        </w:rPr>
        <w:t>omes</w:t>
      </w:r>
      <w:r w:rsidR="001D0DDF">
        <w:rPr>
          <w:rFonts w:ascii="Times New Roman" w:hAnsi="Times New Roman"/>
          <w:sz w:val="24"/>
          <w:szCs w:val="24"/>
        </w:rPr>
        <w:t xml:space="preserve"> priekšsēdētājs              </w:t>
      </w:r>
      <w:r w:rsidR="00EF5DF9" w:rsidRPr="00EF5DF9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1D0DDF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1D0DDF" w:rsidRDefault="001D0DDF" w:rsidP="00E03CD8">
      <w:pPr>
        <w:spacing w:after="0" w:line="240" w:lineRule="auto"/>
      </w:pPr>
    </w:p>
    <w:p w:rsidR="003955D7" w:rsidRDefault="003955D7" w:rsidP="00E03CD8">
      <w:pPr>
        <w:spacing w:after="0" w:line="240" w:lineRule="auto"/>
      </w:pPr>
      <w:bookmarkStart w:id="0" w:name="_GoBack"/>
      <w:bookmarkEnd w:id="0"/>
    </w:p>
    <w:sectPr w:rsidR="003955D7" w:rsidSect="002551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F"/>
    <w:rsid w:val="0017768D"/>
    <w:rsid w:val="001D0DDF"/>
    <w:rsid w:val="00255113"/>
    <w:rsid w:val="002B6FF4"/>
    <w:rsid w:val="003955D7"/>
    <w:rsid w:val="003D3C21"/>
    <w:rsid w:val="006A6947"/>
    <w:rsid w:val="009057A6"/>
    <w:rsid w:val="00970BD2"/>
    <w:rsid w:val="00B64E26"/>
    <w:rsid w:val="00D328A9"/>
    <w:rsid w:val="00E03CD8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03B832-829B-45DE-A2C7-7B4197A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F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DDF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D0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3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2019-09-27T05:52:00Z</cp:lastPrinted>
  <dcterms:created xsi:type="dcterms:W3CDTF">2019-09-17T05:01:00Z</dcterms:created>
  <dcterms:modified xsi:type="dcterms:W3CDTF">2019-10-28T08:09:00Z</dcterms:modified>
</cp:coreProperties>
</file>