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67CFC7" w14:textId="77777777" w:rsidR="001145B7" w:rsidRDefault="001145B7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79"/>
      <w:bookmarkStart w:id="1" w:name="_MON_1145971594"/>
      <w:bookmarkEnd w:id="0"/>
      <w:bookmarkEnd w:id="1"/>
      <w:r>
        <w:object w:dxaOrig="682" w:dyaOrig="837" w14:anchorId="7A7259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4" o:title=""/>
          </v:shape>
          <o:OLEObject Type="Embed" ProgID="Word.Picture.8" ShapeID="_x0000_i1025" DrawAspect="Content" ObjectID="_1631516197" r:id="rId5"/>
        </w:object>
      </w:r>
    </w:p>
    <w:p w14:paraId="0E9ABCD1" w14:textId="77777777" w:rsidR="001145B7" w:rsidRPr="00EE4591" w:rsidRDefault="001145B7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14:paraId="614A6841" w14:textId="77777777" w:rsidR="001145B7" w:rsidRDefault="001145B7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14:paraId="7E8E66A4" w14:textId="77777777" w:rsidR="001145B7" w:rsidRDefault="001145B7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14:paraId="3804AA66" w14:textId="77777777" w:rsidR="001145B7" w:rsidRPr="00C3756E" w:rsidRDefault="001145B7" w:rsidP="00402A27">
      <w:pPr>
        <w:spacing w:after="0" w:line="240" w:lineRule="auto"/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 w14:anchorId="4B2018E4"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14:paraId="2609D89B" w14:textId="77777777" w:rsidR="001145B7" w:rsidRDefault="001145B7" w:rsidP="00402A27">
      <w:pPr>
        <w:spacing w:after="0" w:line="240" w:lineRule="auto"/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14:paraId="62C78C12" w14:textId="77777777" w:rsidR="001145B7" w:rsidRDefault="001145B7" w:rsidP="00402A27">
      <w:pPr>
        <w:spacing w:after="0" w:line="240" w:lineRule="auto"/>
        <w:jc w:val="center"/>
        <w:rPr>
          <w:sz w:val="18"/>
          <w:szCs w:val="18"/>
          <w:u w:val="single"/>
        </w:rPr>
      </w:pPr>
    </w:p>
    <w:p w14:paraId="1C557F9C" w14:textId="77777777" w:rsidR="001145B7" w:rsidRDefault="001145B7" w:rsidP="00402A27">
      <w:pPr>
        <w:spacing w:after="0" w:line="240" w:lineRule="auto"/>
        <w:jc w:val="center"/>
        <w:rPr>
          <w:b/>
          <w:szCs w:val="24"/>
        </w:rPr>
      </w:pPr>
    </w:p>
    <w:p w14:paraId="170D3AD2" w14:textId="77777777" w:rsidR="001145B7" w:rsidRPr="002E7F44" w:rsidRDefault="001145B7" w:rsidP="00402A27">
      <w:pPr>
        <w:spacing w:after="0" w:line="240" w:lineRule="auto"/>
        <w:jc w:val="center"/>
        <w:rPr>
          <w:b/>
          <w:szCs w:val="24"/>
        </w:rPr>
      </w:pPr>
      <w:r w:rsidRPr="002E7F44">
        <w:rPr>
          <w:b/>
          <w:szCs w:val="24"/>
        </w:rPr>
        <w:t>LĒMUMS</w:t>
      </w:r>
    </w:p>
    <w:p w14:paraId="71965823" w14:textId="77777777" w:rsidR="001145B7" w:rsidRPr="002E7F44" w:rsidRDefault="001145B7" w:rsidP="002E7F44">
      <w:pPr>
        <w:spacing w:after="120"/>
        <w:jc w:val="center"/>
        <w:rPr>
          <w:sz w:val="2"/>
          <w:szCs w:val="2"/>
        </w:rPr>
      </w:pPr>
    </w:p>
    <w:p w14:paraId="2FC02C5B" w14:textId="77777777" w:rsidR="001145B7" w:rsidRDefault="001145B7" w:rsidP="002E7F44">
      <w:pPr>
        <w:jc w:val="center"/>
        <w:rPr>
          <w:szCs w:val="24"/>
        </w:rPr>
      </w:pPr>
      <w:r>
        <w:rPr>
          <w:szCs w:val="24"/>
        </w:rPr>
        <w:t>Daugavpi</w:t>
      </w:r>
      <w:r w:rsidRPr="002E7F44">
        <w:rPr>
          <w:szCs w:val="24"/>
        </w:rPr>
        <w:t>lī</w:t>
      </w:r>
    </w:p>
    <w:p w14:paraId="18B0708F" w14:textId="430B8D88" w:rsidR="00F93849" w:rsidRPr="00D73EF0" w:rsidRDefault="001145B7" w:rsidP="00F93849">
      <w:pPr>
        <w:spacing w:after="0" w:line="240" w:lineRule="auto"/>
        <w:jc w:val="both"/>
        <w:rPr>
          <w:lang w:val="lv-LV"/>
        </w:rPr>
      </w:pPr>
      <w:r>
        <w:rPr>
          <w:szCs w:val="24"/>
          <w:lang w:val="lv-LV"/>
        </w:rPr>
        <w:t>2</w:t>
      </w:r>
      <w:r w:rsidR="00F93849" w:rsidRPr="00D73EF0">
        <w:rPr>
          <w:szCs w:val="24"/>
          <w:lang w:val="lv-LV"/>
        </w:rPr>
        <w:t xml:space="preserve">019.gada 26.septembrī                                                                                  </w:t>
      </w:r>
      <w:r w:rsidR="00F93849" w:rsidRPr="00D73EF0">
        <w:rPr>
          <w:b/>
          <w:lang w:val="lv-LV"/>
        </w:rPr>
        <w:t xml:space="preserve">Nr.575 </w:t>
      </w:r>
      <w:r w:rsidR="00F93849" w:rsidRPr="00D73EF0">
        <w:rPr>
          <w:lang w:val="lv-LV"/>
        </w:rPr>
        <w:t xml:space="preserve">                                                                            </w:t>
      </w:r>
    </w:p>
    <w:p w14:paraId="43DACC2E" w14:textId="54D504CE" w:rsidR="00F93849" w:rsidRPr="00D73EF0" w:rsidRDefault="00F93849" w:rsidP="00F93849">
      <w:pPr>
        <w:spacing w:after="0" w:line="240" w:lineRule="auto"/>
        <w:jc w:val="both"/>
        <w:rPr>
          <w:b/>
          <w:lang w:val="lv-LV"/>
        </w:rPr>
      </w:pPr>
      <w:r w:rsidRPr="00D73EF0">
        <w:rPr>
          <w:lang w:val="lv-LV"/>
        </w:rPr>
        <w:t xml:space="preserve">                                                                                                                        (prot.Nr.32, 10.§)     </w:t>
      </w:r>
      <w:r w:rsidRPr="00D73EF0">
        <w:rPr>
          <w:b/>
          <w:lang w:val="lv-LV"/>
        </w:rPr>
        <w:t xml:space="preserve">                                                                       </w:t>
      </w:r>
      <w:r w:rsidRPr="00D73EF0">
        <w:rPr>
          <w:lang w:val="lv-LV"/>
        </w:rPr>
        <w:t xml:space="preserve">                                        </w:t>
      </w:r>
    </w:p>
    <w:p w14:paraId="23E3E661" w14:textId="7ABBFB9B" w:rsidR="003169FF" w:rsidRPr="00D73EF0" w:rsidRDefault="003169FF" w:rsidP="00F93849">
      <w:pPr>
        <w:pStyle w:val="BodyText"/>
        <w:spacing w:after="0" w:line="240" w:lineRule="auto"/>
        <w:jc w:val="both"/>
        <w:rPr>
          <w:szCs w:val="24"/>
          <w:lang w:val="lv-LV"/>
        </w:rPr>
      </w:pPr>
      <w:r w:rsidRPr="00D73EF0">
        <w:rPr>
          <w:szCs w:val="24"/>
          <w:lang w:val="lv-LV"/>
        </w:rPr>
        <w:tab/>
      </w:r>
      <w:r w:rsidRPr="00D73EF0">
        <w:rPr>
          <w:szCs w:val="24"/>
          <w:lang w:val="lv-LV"/>
        </w:rPr>
        <w:tab/>
      </w:r>
      <w:r w:rsidRPr="00D73EF0">
        <w:rPr>
          <w:szCs w:val="24"/>
          <w:lang w:val="lv-LV"/>
        </w:rPr>
        <w:tab/>
      </w:r>
      <w:r w:rsidRPr="00D73EF0">
        <w:rPr>
          <w:szCs w:val="24"/>
          <w:lang w:val="lv-LV"/>
        </w:rPr>
        <w:tab/>
      </w:r>
      <w:r w:rsidRPr="00D73EF0">
        <w:rPr>
          <w:szCs w:val="24"/>
          <w:lang w:val="lv-LV"/>
        </w:rPr>
        <w:tab/>
      </w:r>
      <w:r w:rsidRPr="00D73EF0">
        <w:rPr>
          <w:szCs w:val="24"/>
          <w:lang w:val="lv-LV"/>
        </w:rPr>
        <w:tab/>
      </w:r>
    </w:p>
    <w:p w14:paraId="7909EFE0" w14:textId="77777777" w:rsidR="003169FF" w:rsidRPr="00D73EF0" w:rsidRDefault="003169FF" w:rsidP="00F93849">
      <w:pPr>
        <w:pStyle w:val="Heading1"/>
        <w:spacing w:line="240" w:lineRule="auto"/>
        <w:rPr>
          <w:szCs w:val="24"/>
        </w:rPr>
      </w:pPr>
    </w:p>
    <w:p w14:paraId="354AF72F" w14:textId="00D8630E" w:rsidR="00520E33" w:rsidRPr="00D73EF0" w:rsidRDefault="003169FF" w:rsidP="00F93849">
      <w:pPr>
        <w:spacing w:after="0" w:line="240" w:lineRule="auto"/>
        <w:jc w:val="center"/>
        <w:rPr>
          <w:b/>
          <w:szCs w:val="24"/>
          <w:lang w:val="lv-LV"/>
        </w:rPr>
      </w:pPr>
      <w:r w:rsidRPr="00D73EF0">
        <w:rPr>
          <w:b/>
          <w:szCs w:val="24"/>
          <w:lang w:val="lv-LV"/>
        </w:rPr>
        <w:t xml:space="preserve">Par Daugavpils pilsētas </w:t>
      </w:r>
      <w:r w:rsidR="00E21E9D" w:rsidRPr="00D73EF0">
        <w:rPr>
          <w:b/>
          <w:szCs w:val="24"/>
          <w:lang w:val="lv-LV"/>
        </w:rPr>
        <w:t>pašvaldības iestādes „</w:t>
      </w:r>
      <w:r w:rsidR="000057F0" w:rsidRPr="00D73EF0">
        <w:rPr>
          <w:b/>
          <w:szCs w:val="24"/>
          <w:lang w:val="lv-LV"/>
        </w:rPr>
        <w:t>Poļu kultūras centrs</w:t>
      </w:r>
      <w:r w:rsidRPr="00D73EF0">
        <w:rPr>
          <w:b/>
          <w:szCs w:val="24"/>
          <w:lang w:val="lv-LV"/>
        </w:rPr>
        <w:t xml:space="preserve">” </w:t>
      </w:r>
      <w:r w:rsidR="001429B1" w:rsidRPr="00D73EF0">
        <w:rPr>
          <w:b/>
          <w:szCs w:val="24"/>
          <w:lang w:val="lv-LV"/>
        </w:rPr>
        <w:t>maksas</w:t>
      </w:r>
    </w:p>
    <w:p w14:paraId="0D446003" w14:textId="72EAD06E" w:rsidR="003169FF" w:rsidRPr="00D73EF0" w:rsidRDefault="001429B1" w:rsidP="00F93849">
      <w:pPr>
        <w:spacing w:after="0" w:line="240" w:lineRule="auto"/>
        <w:jc w:val="center"/>
        <w:rPr>
          <w:b/>
          <w:szCs w:val="24"/>
          <w:lang w:val="lv-LV"/>
        </w:rPr>
      </w:pPr>
      <w:r w:rsidRPr="00D73EF0">
        <w:rPr>
          <w:b/>
          <w:szCs w:val="24"/>
          <w:lang w:val="lv-LV"/>
        </w:rPr>
        <w:t>pakalpojumu cenrādi</w:t>
      </w:r>
    </w:p>
    <w:p w14:paraId="1323FB7B" w14:textId="77777777" w:rsidR="003169FF" w:rsidRPr="00D73EF0" w:rsidRDefault="003169FF" w:rsidP="00F93849">
      <w:pPr>
        <w:pStyle w:val="Heading1"/>
        <w:spacing w:line="240" w:lineRule="auto"/>
        <w:rPr>
          <w:b w:val="0"/>
          <w:szCs w:val="24"/>
        </w:rPr>
      </w:pPr>
    </w:p>
    <w:p w14:paraId="66734D7C" w14:textId="2996AC40" w:rsidR="003169FF" w:rsidRPr="00D73EF0" w:rsidRDefault="003169FF" w:rsidP="00D73EF0">
      <w:pPr>
        <w:spacing w:after="0" w:line="240" w:lineRule="auto"/>
        <w:ind w:firstLine="426"/>
        <w:jc w:val="both"/>
        <w:rPr>
          <w:szCs w:val="24"/>
          <w:lang w:val="lv-LV"/>
        </w:rPr>
      </w:pPr>
      <w:r w:rsidRPr="00D73EF0">
        <w:rPr>
          <w:szCs w:val="24"/>
          <w:lang w:val="lv-LV"/>
        </w:rPr>
        <w:t>Pamatojoties uz likuma “Par pašvaldībām“ 21.panta pirmās daļas 14.punkta                                a), b) un g) apakšpunktu, Daugavpils pilsētas domes 201</w:t>
      </w:r>
      <w:r w:rsidR="00783310" w:rsidRPr="00D73EF0">
        <w:rPr>
          <w:szCs w:val="24"/>
          <w:lang w:val="lv-LV"/>
        </w:rPr>
        <w:t>9</w:t>
      </w:r>
      <w:r w:rsidRPr="00D73EF0">
        <w:rPr>
          <w:szCs w:val="24"/>
          <w:lang w:val="lv-LV"/>
        </w:rPr>
        <w:t>.gada 28.</w:t>
      </w:r>
      <w:r w:rsidR="00783310" w:rsidRPr="00D73EF0">
        <w:rPr>
          <w:szCs w:val="24"/>
          <w:lang w:val="lv-LV"/>
        </w:rPr>
        <w:t>maija</w:t>
      </w:r>
      <w:r w:rsidRPr="00D73EF0">
        <w:rPr>
          <w:szCs w:val="24"/>
          <w:lang w:val="lv-LV"/>
        </w:rPr>
        <w:t xml:space="preserve"> noteikumiem “Noteikumi par Daugavpils pilsētas pašvaldības budžeta iestāžu sniegto maksas pakalpojumu izcenojumu noteikšanas un apstiprināšanas kārtību, maksas pakalpojumu ieņēmumu un izdevumu uzskaiti”, Daugavpils pilsētas domes Izglītības un kultūras jautājumu komite</w:t>
      </w:r>
      <w:r w:rsidR="00F93849" w:rsidRPr="00D73EF0">
        <w:rPr>
          <w:szCs w:val="24"/>
          <w:lang w:val="lv-LV"/>
        </w:rPr>
        <w:t xml:space="preserve">jas 2019.gada 19.septembta </w:t>
      </w:r>
      <w:r w:rsidR="00BA52E7" w:rsidRPr="00D73EF0">
        <w:rPr>
          <w:szCs w:val="24"/>
          <w:lang w:val="lv-LV"/>
        </w:rPr>
        <w:t>atzinumu</w:t>
      </w:r>
      <w:r w:rsidRPr="00D73EF0">
        <w:rPr>
          <w:szCs w:val="24"/>
          <w:lang w:val="lv-LV"/>
        </w:rPr>
        <w:t>, Daugavpils pilsētas domes Finanšu komite</w:t>
      </w:r>
      <w:r w:rsidR="00F93849" w:rsidRPr="00D73EF0">
        <w:rPr>
          <w:szCs w:val="24"/>
          <w:lang w:val="lv-LV"/>
        </w:rPr>
        <w:t xml:space="preserve">jas 2019.gada 19.septembra </w:t>
      </w:r>
      <w:r w:rsidR="00BA52E7" w:rsidRPr="00D73EF0">
        <w:rPr>
          <w:szCs w:val="24"/>
          <w:lang w:val="lv-LV"/>
        </w:rPr>
        <w:t>atzinumu</w:t>
      </w:r>
      <w:r w:rsidRPr="00D73EF0">
        <w:rPr>
          <w:spacing w:val="-4"/>
          <w:szCs w:val="24"/>
          <w:lang w:val="lv-LV"/>
        </w:rPr>
        <w:t xml:space="preserve">, </w:t>
      </w:r>
      <w:r w:rsidR="00D73EF0" w:rsidRPr="00D73EF0">
        <w:rPr>
          <w:szCs w:val="24"/>
          <w:lang w:val="lv-LV"/>
        </w:rPr>
        <w:t>atklāti balsojot: PAR – 11 (</w:t>
      </w:r>
      <w:proofErr w:type="spellStart"/>
      <w:r w:rsidR="00D73EF0" w:rsidRPr="00D73EF0">
        <w:rPr>
          <w:szCs w:val="24"/>
          <w:lang w:val="lv-LV"/>
        </w:rPr>
        <w:t>A.Broks</w:t>
      </w:r>
      <w:proofErr w:type="spellEnd"/>
      <w:r w:rsidR="00D73EF0" w:rsidRPr="00D73EF0">
        <w:rPr>
          <w:szCs w:val="24"/>
          <w:lang w:val="lv-LV"/>
        </w:rPr>
        <w:t xml:space="preserve">, </w:t>
      </w:r>
      <w:proofErr w:type="spellStart"/>
      <w:r w:rsidR="00D73EF0" w:rsidRPr="00D73EF0">
        <w:rPr>
          <w:szCs w:val="24"/>
          <w:lang w:val="lv-LV"/>
        </w:rPr>
        <w:t>J.Dukšinskis</w:t>
      </w:r>
      <w:proofErr w:type="spellEnd"/>
      <w:r w:rsidR="00D73EF0" w:rsidRPr="00D73EF0">
        <w:rPr>
          <w:szCs w:val="24"/>
          <w:lang w:val="lv-LV"/>
        </w:rPr>
        <w:t xml:space="preserve">, </w:t>
      </w:r>
      <w:proofErr w:type="spellStart"/>
      <w:r w:rsidR="00D73EF0" w:rsidRPr="00D73EF0">
        <w:rPr>
          <w:szCs w:val="24"/>
          <w:lang w:val="lv-LV"/>
        </w:rPr>
        <w:t>A.Elksniņš</w:t>
      </w:r>
      <w:proofErr w:type="spellEnd"/>
      <w:r w:rsidR="00D73EF0" w:rsidRPr="00D73EF0">
        <w:rPr>
          <w:szCs w:val="24"/>
          <w:lang w:val="lv-LV"/>
        </w:rPr>
        <w:t xml:space="preserve">, </w:t>
      </w:r>
      <w:proofErr w:type="spellStart"/>
      <w:r w:rsidR="00D73EF0" w:rsidRPr="00D73EF0">
        <w:rPr>
          <w:szCs w:val="24"/>
          <w:lang w:val="lv-LV"/>
        </w:rPr>
        <w:t>R.Joksts</w:t>
      </w:r>
      <w:proofErr w:type="spellEnd"/>
      <w:r w:rsidR="00D73EF0" w:rsidRPr="00D73EF0">
        <w:rPr>
          <w:szCs w:val="24"/>
          <w:lang w:val="lv-LV"/>
        </w:rPr>
        <w:t xml:space="preserve">, </w:t>
      </w:r>
      <w:proofErr w:type="spellStart"/>
      <w:r w:rsidR="00D73EF0" w:rsidRPr="00D73EF0">
        <w:rPr>
          <w:szCs w:val="24"/>
          <w:lang w:val="lv-LV"/>
        </w:rPr>
        <w:t>I.Kokina</w:t>
      </w:r>
      <w:proofErr w:type="spellEnd"/>
      <w:r w:rsidR="00D73EF0" w:rsidRPr="00D73EF0">
        <w:rPr>
          <w:szCs w:val="24"/>
          <w:lang w:val="lv-LV"/>
        </w:rPr>
        <w:t xml:space="preserve">, </w:t>
      </w:r>
      <w:proofErr w:type="spellStart"/>
      <w:r w:rsidR="00D73EF0" w:rsidRPr="00D73EF0">
        <w:rPr>
          <w:szCs w:val="24"/>
          <w:lang w:val="lv-LV"/>
        </w:rPr>
        <w:t>V.Kononovs</w:t>
      </w:r>
      <w:proofErr w:type="spellEnd"/>
      <w:r w:rsidR="00D73EF0" w:rsidRPr="00D73EF0">
        <w:rPr>
          <w:szCs w:val="24"/>
          <w:lang w:val="lv-LV"/>
        </w:rPr>
        <w:t xml:space="preserve">, </w:t>
      </w:r>
      <w:proofErr w:type="spellStart"/>
      <w:r w:rsidR="00D73EF0" w:rsidRPr="00D73EF0">
        <w:rPr>
          <w:szCs w:val="24"/>
          <w:lang w:val="lv-LV"/>
        </w:rPr>
        <w:t>N.Kožanova</w:t>
      </w:r>
      <w:proofErr w:type="spellEnd"/>
      <w:r w:rsidR="00D73EF0" w:rsidRPr="00D73EF0">
        <w:rPr>
          <w:szCs w:val="24"/>
          <w:lang w:val="lv-LV"/>
        </w:rPr>
        <w:t xml:space="preserve">, </w:t>
      </w:r>
      <w:proofErr w:type="spellStart"/>
      <w:r w:rsidR="00D73EF0" w:rsidRPr="00D73EF0">
        <w:rPr>
          <w:szCs w:val="24"/>
          <w:lang w:val="lv-LV"/>
        </w:rPr>
        <w:t>M.Lavrenovs</w:t>
      </w:r>
      <w:proofErr w:type="spellEnd"/>
      <w:r w:rsidR="00D73EF0" w:rsidRPr="00D73EF0">
        <w:rPr>
          <w:szCs w:val="24"/>
          <w:lang w:val="lv-LV"/>
        </w:rPr>
        <w:t xml:space="preserve">, </w:t>
      </w:r>
      <w:proofErr w:type="spellStart"/>
      <w:r w:rsidR="00D73EF0" w:rsidRPr="00D73EF0">
        <w:rPr>
          <w:szCs w:val="24"/>
          <w:lang w:val="lv-LV"/>
        </w:rPr>
        <w:t>I.Prelatovs</w:t>
      </w:r>
      <w:proofErr w:type="spellEnd"/>
      <w:r w:rsidR="00D73EF0" w:rsidRPr="00D73EF0">
        <w:rPr>
          <w:szCs w:val="24"/>
          <w:lang w:val="lv-LV"/>
        </w:rPr>
        <w:t xml:space="preserve">,  </w:t>
      </w:r>
      <w:proofErr w:type="spellStart"/>
      <w:r w:rsidR="00D73EF0" w:rsidRPr="00D73EF0">
        <w:rPr>
          <w:szCs w:val="24"/>
          <w:lang w:val="lv-LV"/>
        </w:rPr>
        <w:t>H.Soldatjonoka</w:t>
      </w:r>
      <w:proofErr w:type="spellEnd"/>
      <w:r w:rsidR="00D73EF0" w:rsidRPr="00D73EF0">
        <w:rPr>
          <w:szCs w:val="24"/>
          <w:lang w:val="lv-LV"/>
        </w:rPr>
        <w:t xml:space="preserve">, </w:t>
      </w:r>
      <w:proofErr w:type="spellStart"/>
      <w:r w:rsidR="00D73EF0" w:rsidRPr="00D73EF0">
        <w:rPr>
          <w:szCs w:val="24"/>
          <w:lang w:val="lv-LV"/>
        </w:rPr>
        <w:t>A.Zdanovskis</w:t>
      </w:r>
      <w:proofErr w:type="spellEnd"/>
      <w:r w:rsidR="00D73EF0" w:rsidRPr="00D73EF0">
        <w:rPr>
          <w:szCs w:val="24"/>
          <w:lang w:val="lv-LV"/>
        </w:rPr>
        <w:t xml:space="preserve">), PRET – nav, ATTURAS – nav, </w:t>
      </w:r>
      <w:r w:rsidRPr="00D73EF0">
        <w:rPr>
          <w:b/>
          <w:szCs w:val="24"/>
          <w:lang w:val="lv-LV"/>
        </w:rPr>
        <w:t>Daugavpils pilsētas dome nolemj:</w:t>
      </w:r>
    </w:p>
    <w:p w14:paraId="707089E7" w14:textId="77777777" w:rsidR="003169FF" w:rsidRPr="00F93849" w:rsidRDefault="003169FF" w:rsidP="00D73EF0">
      <w:pPr>
        <w:pStyle w:val="BodyTextIndent2"/>
        <w:spacing w:line="240" w:lineRule="auto"/>
        <w:ind w:firstLine="567"/>
        <w:jc w:val="both"/>
        <w:rPr>
          <w:szCs w:val="24"/>
        </w:rPr>
      </w:pPr>
    </w:p>
    <w:p w14:paraId="2867466D" w14:textId="62A41A3C" w:rsidR="003169FF" w:rsidRPr="00F93849" w:rsidRDefault="003169FF" w:rsidP="00F93849">
      <w:pPr>
        <w:pStyle w:val="BodyTextIndent2"/>
        <w:spacing w:line="240" w:lineRule="auto"/>
        <w:ind w:firstLine="567"/>
        <w:jc w:val="both"/>
        <w:rPr>
          <w:szCs w:val="24"/>
        </w:rPr>
      </w:pPr>
      <w:r w:rsidRPr="00F93849">
        <w:rPr>
          <w:szCs w:val="24"/>
        </w:rPr>
        <w:t xml:space="preserve">1. Apstiprināt </w:t>
      </w:r>
      <w:r w:rsidR="00E21E9D" w:rsidRPr="00F93849">
        <w:rPr>
          <w:szCs w:val="24"/>
        </w:rPr>
        <w:t xml:space="preserve"> Daugavpils pilsētas pašvaldības iestādes „</w:t>
      </w:r>
      <w:r w:rsidR="000057F0" w:rsidRPr="00F93849">
        <w:rPr>
          <w:szCs w:val="24"/>
        </w:rPr>
        <w:t>Poļu</w:t>
      </w:r>
      <w:r w:rsidR="00E21E9D" w:rsidRPr="00F93849">
        <w:rPr>
          <w:szCs w:val="24"/>
        </w:rPr>
        <w:t xml:space="preserve"> kultūras centrs” </w:t>
      </w:r>
      <w:r w:rsidR="001429B1" w:rsidRPr="00F93849">
        <w:rPr>
          <w:szCs w:val="24"/>
        </w:rPr>
        <w:t>(turpmāk - Iestāde)</w:t>
      </w:r>
      <w:r w:rsidRPr="00F93849">
        <w:rPr>
          <w:szCs w:val="24"/>
        </w:rPr>
        <w:t xml:space="preserve"> </w:t>
      </w:r>
      <w:r w:rsidR="00E21E9D" w:rsidRPr="00F93849">
        <w:rPr>
          <w:szCs w:val="24"/>
        </w:rPr>
        <w:t xml:space="preserve">maksas pakalpojumu </w:t>
      </w:r>
      <w:r w:rsidR="00474CC8" w:rsidRPr="00F93849">
        <w:rPr>
          <w:szCs w:val="24"/>
        </w:rPr>
        <w:t>cenrādi:</w:t>
      </w:r>
    </w:p>
    <w:tbl>
      <w:tblPr>
        <w:tblW w:w="939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1"/>
        <w:gridCol w:w="3594"/>
        <w:gridCol w:w="1413"/>
        <w:gridCol w:w="1256"/>
        <w:gridCol w:w="1120"/>
        <w:gridCol w:w="1120"/>
      </w:tblGrid>
      <w:tr w:rsidR="001A0D20" w:rsidRPr="00F93849" w14:paraId="6E987BA2" w14:textId="77777777" w:rsidTr="00CE6E00">
        <w:trPr>
          <w:trHeight w:val="874"/>
        </w:trPr>
        <w:tc>
          <w:tcPr>
            <w:tcW w:w="891" w:type="dxa"/>
            <w:vAlign w:val="center"/>
          </w:tcPr>
          <w:p w14:paraId="1D057F78" w14:textId="77777777" w:rsidR="003169FF" w:rsidRPr="00F93849" w:rsidRDefault="003169FF" w:rsidP="00F93849">
            <w:pPr>
              <w:spacing w:after="0" w:line="240" w:lineRule="auto"/>
              <w:jc w:val="both"/>
              <w:rPr>
                <w:szCs w:val="24"/>
                <w:lang w:val="lv-LV"/>
              </w:rPr>
            </w:pPr>
            <w:proofErr w:type="spellStart"/>
            <w:r w:rsidRPr="00F93849">
              <w:rPr>
                <w:szCs w:val="24"/>
                <w:lang w:val="lv-LV"/>
              </w:rPr>
              <w:t>Nr.p.k</w:t>
            </w:r>
            <w:proofErr w:type="spellEnd"/>
            <w:r w:rsidRPr="00F93849">
              <w:rPr>
                <w:szCs w:val="24"/>
                <w:lang w:val="lv-LV"/>
              </w:rPr>
              <w:t>.</w:t>
            </w:r>
          </w:p>
        </w:tc>
        <w:tc>
          <w:tcPr>
            <w:tcW w:w="3594" w:type="dxa"/>
            <w:vAlign w:val="center"/>
          </w:tcPr>
          <w:p w14:paraId="76F7D716" w14:textId="77777777" w:rsidR="003169FF" w:rsidRPr="00F93849" w:rsidRDefault="003169FF" w:rsidP="00F93849">
            <w:pPr>
              <w:spacing w:after="0" w:line="240" w:lineRule="auto"/>
              <w:jc w:val="both"/>
              <w:rPr>
                <w:szCs w:val="24"/>
                <w:lang w:val="lv-LV"/>
              </w:rPr>
            </w:pPr>
            <w:r w:rsidRPr="00F93849">
              <w:rPr>
                <w:szCs w:val="24"/>
                <w:lang w:val="lv-LV"/>
              </w:rPr>
              <w:t>Pakalpojuma veids</w:t>
            </w:r>
          </w:p>
        </w:tc>
        <w:tc>
          <w:tcPr>
            <w:tcW w:w="1413" w:type="dxa"/>
            <w:vAlign w:val="center"/>
          </w:tcPr>
          <w:p w14:paraId="1D03658C" w14:textId="77777777" w:rsidR="003169FF" w:rsidRPr="00F93849" w:rsidRDefault="003169FF" w:rsidP="00F93849">
            <w:pPr>
              <w:spacing w:after="0" w:line="240" w:lineRule="auto"/>
              <w:jc w:val="both"/>
              <w:rPr>
                <w:szCs w:val="24"/>
                <w:lang w:val="lv-LV"/>
              </w:rPr>
            </w:pPr>
            <w:r w:rsidRPr="00F93849">
              <w:rPr>
                <w:szCs w:val="24"/>
                <w:lang w:val="lv-LV"/>
              </w:rPr>
              <w:t>Mērvienība</w:t>
            </w:r>
          </w:p>
        </w:tc>
        <w:tc>
          <w:tcPr>
            <w:tcW w:w="1256" w:type="dxa"/>
            <w:vAlign w:val="center"/>
          </w:tcPr>
          <w:p w14:paraId="265B7DC2" w14:textId="77777777" w:rsidR="003169FF" w:rsidRPr="00F93849" w:rsidRDefault="003169FF" w:rsidP="00F93849">
            <w:pPr>
              <w:spacing w:after="0" w:line="240" w:lineRule="auto"/>
              <w:jc w:val="both"/>
              <w:rPr>
                <w:szCs w:val="24"/>
                <w:lang w:val="lv-LV"/>
              </w:rPr>
            </w:pPr>
            <w:r w:rsidRPr="00F93849">
              <w:rPr>
                <w:szCs w:val="24"/>
                <w:lang w:val="lv-LV"/>
              </w:rPr>
              <w:t>Cena bez PVN (</w:t>
            </w:r>
            <w:proofErr w:type="spellStart"/>
            <w:r w:rsidRPr="00F93849">
              <w:rPr>
                <w:i/>
                <w:szCs w:val="24"/>
                <w:lang w:val="lv-LV"/>
              </w:rPr>
              <w:t>euro</w:t>
            </w:r>
            <w:proofErr w:type="spellEnd"/>
            <w:r w:rsidRPr="00F93849">
              <w:rPr>
                <w:szCs w:val="24"/>
                <w:lang w:val="lv-LV"/>
              </w:rPr>
              <w:t>)</w:t>
            </w:r>
          </w:p>
        </w:tc>
        <w:tc>
          <w:tcPr>
            <w:tcW w:w="1120" w:type="dxa"/>
            <w:vAlign w:val="center"/>
          </w:tcPr>
          <w:p w14:paraId="1EF44369" w14:textId="77777777" w:rsidR="003169FF" w:rsidRPr="00F93849" w:rsidRDefault="003169FF" w:rsidP="00F93849">
            <w:pPr>
              <w:spacing w:after="0" w:line="240" w:lineRule="auto"/>
              <w:jc w:val="both"/>
              <w:rPr>
                <w:szCs w:val="24"/>
                <w:lang w:val="lv-LV"/>
              </w:rPr>
            </w:pPr>
            <w:r w:rsidRPr="00F93849">
              <w:rPr>
                <w:szCs w:val="24"/>
                <w:lang w:val="lv-LV"/>
              </w:rPr>
              <w:t>PVN</w:t>
            </w:r>
          </w:p>
          <w:p w14:paraId="1BCAD502" w14:textId="77777777" w:rsidR="003169FF" w:rsidRPr="00F93849" w:rsidRDefault="003169FF" w:rsidP="00F93849">
            <w:pPr>
              <w:spacing w:after="0" w:line="240" w:lineRule="auto"/>
              <w:jc w:val="both"/>
              <w:rPr>
                <w:szCs w:val="24"/>
                <w:lang w:val="lv-LV"/>
              </w:rPr>
            </w:pPr>
            <w:r w:rsidRPr="00F93849">
              <w:rPr>
                <w:szCs w:val="24"/>
                <w:lang w:val="lv-LV"/>
              </w:rPr>
              <w:t>(</w:t>
            </w:r>
            <w:proofErr w:type="spellStart"/>
            <w:r w:rsidRPr="00F93849">
              <w:rPr>
                <w:i/>
                <w:szCs w:val="24"/>
                <w:lang w:val="lv-LV"/>
              </w:rPr>
              <w:t>euro</w:t>
            </w:r>
            <w:proofErr w:type="spellEnd"/>
            <w:r w:rsidRPr="00F93849">
              <w:rPr>
                <w:szCs w:val="24"/>
                <w:lang w:val="lv-LV"/>
              </w:rPr>
              <w:t>)</w:t>
            </w:r>
          </w:p>
        </w:tc>
        <w:tc>
          <w:tcPr>
            <w:tcW w:w="1120" w:type="dxa"/>
            <w:vAlign w:val="center"/>
          </w:tcPr>
          <w:p w14:paraId="4F5A7A9A" w14:textId="77777777" w:rsidR="003169FF" w:rsidRPr="00F93849" w:rsidRDefault="003169FF" w:rsidP="00F93849">
            <w:pPr>
              <w:spacing w:after="0" w:line="240" w:lineRule="auto"/>
              <w:jc w:val="both"/>
              <w:rPr>
                <w:szCs w:val="24"/>
                <w:lang w:val="lv-LV"/>
              </w:rPr>
            </w:pPr>
            <w:r w:rsidRPr="00F93849">
              <w:rPr>
                <w:szCs w:val="24"/>
                <w:lang w:val="lv-LV"/>
              </w:rPr>
              <w:t>Cena ar PVN</w:t>
            </w:r>
          </w:p>
          <w:p w14:paraId="5D1E4DB8" w14:textId="77777777" w:rsidR="003169FF" w:rsidRPr="00F93849" w:rsidRDefault="003169FF" w:rsidP="00F93849">
            <w:pPr>
              <w:spacing w:after="0" w:line="240" w:lineRule="auto"/>
              <w:jc w:val="both"/>
              <w:rPr>
                <w:szCs w:val="24"/>
                <w:lang w:val="lv-LV"/>
              </w:rPr>
            </w:pPr>
            <w:r w:rsidRPr="00F93849">
              <w:rPr>
                <w:szCs w:val="24"/>
                <w:lang w:val="lv-LV"/>
              </w:rPr>
              <w:t>(</w:t>
            </w:r>
            <w:proofErr w:type="spellStart"/>
            <w:r w:rsidRPr="00F93849">
              <w:rPr>
                <w:i/>
                <w:szCs w:val="24"/>
                <w:lang w:val="lv-LV"/>
              </w:rPr>
              <w:t>euro</w:t>
            </w:r>
            <w:proofErr w:type="spellEnd"/>
            <w:r w:rsidRPr="00F93849">
              <w:rPr>
                <w:szCs w:val="24"/>
                <w:lang w:val="lv-LV"/>
              </w:rPr>
              <w:t>)</w:t>
            </w:r>
          </w:p>
        </w:tc>
      </w:tr>
      <w:tr w:rsidR="001A0D20" w:rsidRPr="00F93849" w14:paraId="0A498A82" w14:textId="77777777" w:rsidTr="00CE6E00">
        <w:trPr>
          <w:trHeight w:val="397"/>
        </w:trPr>
        <w:tc>
          <w:tcPr>
            <w:tcW w:w="891" w:type="dxa"/>
            <w:vAlign w:val="center"/>
          </w:tcPr>
          <w:p w14:paraId="6ACBF65A" w14:textId="3572458D" w:rsidR="003169FF" w:rsidRPr="00F93849" w:rsidRDefault="00E21E9D" w:rsidP="00F93849">
            <w:pPr>
              <w:spacing w:after="0" w:line="240" w:lineRule="auto"/>
              <w:jc w:val="both"/>
              <w:rPr>
                <w:szCs w:val="24"/>
                <w:lang w:val="lv-LV"/>
              </w:rPr>
            </w:pPr>
            <w:r w:rsidRPr="00F93849">
              <w:rPr>
                <w:szCs w:val="24"/>
                <w:lang w:val="lv-LV"/>
              </w:rPr>
              <w:t>1</w:t>
            </w:r>
            <w:r w:rsidR="003169FF" w:rsidRPr="00F93849">
              <w:rPr>
                <w:szCs w:val="24"/>
                <w:lang w:val="lv-LV"/>
              </w:rPr>
              <w:t>.</w:t>
            </w:r>
          </w:p>
        </w:tc>
        <w:tc>
          <w:tcPr>
            <w:tcW w:w="3594" w:type="dxa"/>
            <w:vAlign w:val="center"/>
          </w:tcPr>
          <w:p w14:paraId="2DB6C851" w14:textId="77777777" w:rsidR="003169FF" w:rsidRPr="00F93849" w:rsidRDefault="003169FF" w:rsidP="00F93849">
            <w:pPr>
              <w:spacing w:after="0" w:line="240" w:lineRule="auto"/>
              <w:jc w:val="both"/>
              <w:rPr>
                <w:szCs w:val="24"/>
                <w:lang w:val="lv-LV"/>
              </w:rPr>
            </w:pPr>
            <w:r w:rsidRPr="00F93849">
              <w:rPr>
                <w:szCs w:val="24"/>
                <w:lang w:val="lv-LV"/>
              </w:rPr>
              <w:t xml:space="preserve">Ieejas </w:t>
            </w:r>
            <w:r w:rsidR="001429B1" w:rsidRPr="00F93849">
              <w:rPr>
                <w:szCs w:val="24"/>
                <w:lang w:val="lv-LV"/>
              </w:rPr>
              <w:t>biļetes</w:t>
            </w:r>
            <w:r w:rsidRPr="00F93849">
              <w:rPr>
                <w:szCs w:val="24"/>
                <w:lang w:val="lv-LV"/>
              </w:rPr>
              <w:t xml:space="preserve"> cena </w:t>
            </w:r>
          </w:p>
        </w:tc>
        <w:tc>
          <w:tcPr>
            <w:tcW w:w="1413" w:type="dxa"/>
            <w:vAlign w:val="center"/>
          </w:tcPr>
          <w:p w14:paraId="582F9B60" w14:textId="77777777" w:rsidR="003169FF" w:rsidRPr="00F93849" w:rsidRDefault="003169FF" w:rsidP="00F93849">
            <w:pPr>
              <w:spacing w:after="0" w:line="240" w:lineRule="auto"/>
              <w:jc w:val="both"/>
              <w:rPr>
                <w:szCs w:val="24"/>
                <w:lang w:val="lv-LV"/>
              </w:rPr>
            </w:pPr>
            <w:r w:rsidRPr="00F93849">
              <w:rPr>
                <w:szCs w:val="24"/>
                <w:lang w:val="lv-LV"/>
              </w:rPr>
              <w:t xml:space="preserve">1 </w:t>
            </w:r>
            <w:r w:rsidR="00E21E9D" w:rsidRPr="00F93849">
              <w:rPr>
                <w:szCs w:val="24"/>
                <w:lang w:val="lv-LV"/>
              </w:rPr>
              <w:t>ekskursija</w:t>
            </w:r>
          </w:p>
        </w:tc>
        <w:tc>
          <w:tcPr>
            <w:tcW w:w="1256" w:type="dxa"/>
            <w:vAlign w:val="center"/>
          </w:tcPr>
          <w:p w14:paraId="35688472" w14:textId="77777777" w:rsidR="003169FF" w:rsidRPr="00F93849" w:rsidRDefault="00E21E9D" w:rsidP="00F93849">
            <w:pPr>
              <w:spacing w:after="0" w:line="240" w:lineRule="auto"/>
              <w:jc w:val="both"/>
              <w:rPr>
                <w:szCs w:val="24"/>
                <w:lang w:val="lv-LV"/>
              </w:rPr>
            </w:pPr>
            <w:r w:rsidRPr="00F93849">
              <w:rPr>
                <w:szCs w:val="24"/>
                <w:lang w:val="lv-LV"/>
              </w:rPr>
              <w:t>1</w:t>
            </w:r>
            <w:r w:rsidR="003169FF" w:rsidRPr="00F93849">
              <w:rPr>
                <w:szCs w:val="24"/>
                <w:lang w:val="lv-LV"/>
              </w:rPr>
              <w:t>,00</w:t>
            </w:r>
          </w:p>
        </w:tc>
        <w:tc>
          <w:tcPr>
            <w:tcW w:w="1120" w:type="dxa"/>
            <w:vAlign w:val="center"/>
          </w:tcPr>
          <w:p w14:paraId="05ADE9B3" w14:textId="77777777" w:rsidR="003169FF" w:rsidRPr="00F93849" w:rsidRDefault="003169FF" w:rsidP="00F93849">
            <w:pPr>
              <w:spacing w:after="0" w:line="240" w:lineRule="auto"/>
              <w:jc w:val="both"/>
              <w:rPr>
                <w:szCs w:val="24"/>
                <w:lang w:val="lv-LV"/>
              </w:rPr>
            </w:pPr>
            <w:r w:rsidRPr="00F93849">
              <w:rPr>
                <w:szCs w:val="24"/>
                <w:lang w:val="lv-LV"/>
              </w:rPr>
              <w:t>0*</w:t>
            </w:r>
          </w:p>
        </w:tc>
        <w:tc>
          <w:tcPr>
            <w:tcW w:w="1120" w:type="dxa"/>
            <w:vAlign w:val="center"/>
          </w:tcPr>
          <w:p w14:paraId="7BEB3B29" w14:textId="77777777" w:rsidR="003169FF" w:rsidRPr="00F93849" w:rsidRDefault="00E21E9D" w:rsidP="00F93849">
            <w:pPr>
              <w:spacing w:after="0" w:line="240" w:lineRule="auto"/>
              <w:jc w:val="both"/>
              <w:rPr>
                <w:szCs w:val="24"/>
                <w:lang w:val="lv-LV"/>
              </w:rPr>
            </w:pPr>
            <w:r w:rsidRPr="00F93849">
              <w:rPr>
                <w:szCs w:val="24"/>
                <w:lang w:val="lv-LV"/>
              </w:rPr>
              <w:t>1</w:t>
            </w:r>
            <w:r w:rsidR="003169FF" w:rsidRPr="00F93849">
              <w:rPr>
                <w:szCs w:val="24"/>
                <w:lang w:val="lv-LV"/>
              </w:rPr>
              <w:t>,00</w:t>
            </w:r>
          </w:p>
        </w:tc>
      </w:tr>
    </w:tbl>
    <w:p w14:paraId="036FC35E" w14:textId="77777777" w:rsidR="00F93849" w:rsidRDefault="00F93849" w:rsidP="00F93849">
      <w:pPr>
        <w:spacing w:after="0" w:line="240" w:lineRule="auto"/>
        <w:jc w:val="both"/>
        <w:rPr>
          <w:szCs w:val="24"/>
          <w:lang w:val="lv-LV"/>
        </w:rPr>
      </w:pPr>
      <w:r>
        <w:rPr>
          <w:szCs w:val="24"/>
          <w:lang w:val="lv-LV"/>
        </w:rPr>
        <w:t xml:space="preserve">  </w:t>
      </w:r>
      <w:r w:rsidR="00D769FB" w:rsidRPr="00F93849">
        <w:rPr>
          <w:szCs w:val="24"/>
          <w:lang w:val="lv-LV"/>
        </w:rPr>
        <w:t xml:space="preserve">* – PVN nav piemērots, pamatojoties uz Pievienotās vērtības nodokļa likuma 52.panta pirmās </w:t>
      </w:r>
    </w:p>
    <w:p w14:paraId="51DA32C7" w14:textId="71A69887" w:rsidR="00D769FB" w:rsidRPr="00F93849" w:rsidRDefault="00F93849" w:rsidP="00F93849">
      <w:pPr>
        <w:spacing w:after="0" w:line="240" w:lineRule="auto"/>
        <w:jc w:val="both"/>
        <w:rPr>
          <w:szCs w:val="24"/>
          <w:lang w:val="lv-LV"/>
        </w:rPr>
      </w:pPr>
      <w:r>
        <w:rPr>
          <w:szCs w:val="24"/>
          <w:lang w:val="lv-LV"/>
        </w:rPr>
        <w:t xml:space="preserve">  </w:t>
      </w:r>
      <w:r w:rsidR="00D769FB" w:rsidRPr="00F93849">
        <w:rPr>
          <w:szCs w:val="24"/>
          <w:lang w:val="lv-LV"/>
        </w:rPr>
        <w:t>daļas 17.punktu.</w:t>
      </w:r>
    </w:p>
    <w:p w14:paraId="78C5C2FA" w14:textId="77777777" w:rsidR="00D769FB" w:rsidRPr="00F93849" w:rsidRDefault="00D769FB" w:rsidP="00F93849">
      <w:pPr>
        <w:spacing w:after="0" w:line="240" w:lineRule="auto"/>
        <w:jc w:val="both"/>
        <w:rPr>
          <w:szCs w:val="24"/>
          <w:lang w:val="lv-LV"/>
        </w:rPr>
      </w:pPr>
    </w:p>
    <w:p w14:paraId="4E106F05" w14:textId="1F3679C4" w:rsidR="00C16251" w:rsidRPr="00F93849" w:rsidRDefault="00C16251" w:rsidP="00F93849">
      <w:pPr>
        <w:tabs>
          <w:tab w:val="left" w:pos="426"/>
        </w:tabs>
        <w:spacing w:after="0" w:line="240" w:lineRule="auto"/>
        <w:jc w:val="both"/>
        <w:rPr>
          <w:szCs w:val="24"/>
          <w:lang w:val="lv-LV"/>
        </w:rPr>
      </w:pPr>
      <w:r w:rsidRPr="00F93849">
        <w:rPr>
          <w:szCs w:val="24"/>
          <w:lang w:val="lv-LV"/>
        </w:rPr>
        <w:t xml:space="preserve">    </w:t>
      </w:r>
      <w:r w:rsidR="00F93849">
        <w:rPr>
          <w:szCs w:val="24"/>
          <w:lang w:val="lv-LV"/>
        </w:rPr>
        <w:t xml:space="preserve"> </w:t>
      </w:r>
      <w:r w:rsidRPr="00F93849">
        <w:rPr>
          <w:szCs w:val="24"/>
          <w:lang w:val="lv-LV"/>
        </w:rPr>
        <w:t xml:space="preserve"> 2. </w:t>
      </w:r>
      <w:r w:rsidR="00D769FB" w:rsidRPr="00F93849">
        <w:rPr>
          <w:szCs w:val="24"/>
          <w:lang w:val="lv-LV"/>
        </w:rPr>
        <w:t>S</w:t>
      </w:r>
      <w:r w:rsidRPr="00F93849">
        <w:rPr>
          <w:szCs w:val="24"/>
          <w:lang w:val="lv-LV"/>
        </w:rPr>
        <w:t xml:space="preserve">kolēniem, studentiem, </w:t>
      </w:r>
      <w:proofErr w:type="spellStart"/>
      <w:r w:rsidRPr="00F93849">
        <w:rPr>
          <w:szCs w:val="24"/>
          <w:lang w:val="lv-LV"/>
        </w:rPr>
        <w:t>daudzbērnu</w:t>
      </w:r>
      <w:proofErr w:type="spellEnd"/>
      <w:r w:rsidRPr="00F93849">
        <w:rPr>
          <w:szCs w:val="24"/>
          <w:lang w:val="lv-LV"/>
        </w:rPr>
        <w:t xml:space="preserve"> ģimenēm, pensionāriem, personām, kurām noteikta invaliditāte, tiek piemērota 50% atlaide no ieejas maksas, pirm</w:t>
      </w:r>
      <w:r w:rsidR="00AF4338" w:rsidRPr="00F93849">
        <w:rPr>
          <w:szCs w:val="24"/>
          <w:lang w:val="lv-LV"/>
        </w:rPr>
        <w:t>s</w:t>
      </w:r>
      <w:r w:rsidRPr="00F93849">
        <w:rPr>
          <w:szCs w:val="24"/>
          <w:lang w:val="lv-LV"/>
        </w:rPr>
        <w:t>skolas vecuma bērniem un ilgstošās aprūpes un sociālās rehabilitācijas institūciju audzēkņiem – ieeja bezmaksas.</w:t>
      </w:r>
    </w:p>
    <w:p w14:paraId="41B9CF7E" w14:textId="07EA1E76" w:rsidR="003169FF" w:rsidRPr="00F93849" w:rsidRDefault="00F93849" w:rsidP="00F93849">
      <w:pPr>
        <w:spacing w:after="0" w:line="240" w:lineRule="auto"/>
        <w:jc w:val="both"/>
        <w:rPr>
          <w:bCs/>
          <w:szCs w:val="24"/>
          <w:lang w:val="lv-LV"/>
        </w:rPr>
      </w:pPr>
      <w:r>
        <w:rPr>
          <w:bCs/>
          <w:szCs w:val="24"/>
          <w:lang w:val="lv-LV"/>
        </w:rPr>
        <w:t xml:space="preserve">      </w:t>
      </w:r>
      <w:r w:rsidR="00520E33" w:rsidRPr="00F93849">
        <w:rPr>
          <w:bCs/>
          <w:szCs w:val="24"/>
          <w:lang w:val="lv-LV"/>
        </w:rPr>
        <w:t>3</w:t>
      </w:r>
      <w:r w:rsidR="003169FF" w:rsidRPr="00F93849">
        <w:rPr>
          <w:bCs/>
          <w:szCs w:val="24"/>
          <w:lang w:val="lv-LV"/>
        </w:rPr>
        <w:t>. Atzīt par spēku zaudējušu Daugavpils pilsētas domes 201</w:t>
      </w:r>
      <w:r w:rsidR="00346C51" w:rsidRPr="00F93849">
        <w:rPr>
          <w:bCs/>
          <w:szCs w:val="24"/>
          <w:lang w:val="lv-LV"/>
        </w:rPr>
        <w:t>3</w:t>
      </w:r>
      <w:r w:rsidR="003169FF" w:rsidRPr="00F93849">
        <w:rPr>
          <w:bCs/>
          <w:szCs w:val="24"/>
          <w:lang w:val="lv-LV"/>
        </w:rPr>
        <w:t xml:space="preserve">.gada </w:t>
      </w:r>
      <w:r w:rsidR="00346C51" w:rsidRPr="00F93849">
        <w:rPr>
          <w:bCs/>
          <w:szCs w:val="24"/>
          <w:lang w:val="lv-LV"/>
        </w:rPr>
        <w:t>24</w:t>
      </w:r>
      <w:r w:rsidR="003169FF" w:rsidRPr="00F93849">
        <w:rPr>
          <w:bCs/>
          <w:szCs w:val="24"/>
          <w:lang w:val="lv-LV"/>
        </w:rPr>
        <w:t>.</w:t>
      </w:r>
      <w:r w:rsidR="00346C51" w:rsidRPr="00F93849">
        <w:rPr>
          <w:bCs/>
          <w:szCs w:val="24"/>
          <w:lang w:val="lv-LV"/>
        </w:rPr>
        <w:t>oktobra lēmumu Nr.45</w:t>
      </w:r>
      <w:r w:rsidR="000057F0" w:rsidRPr="00F93849">
        <w:rPr>
          <w:bCs/>
          <w:szCs w:val="24"/>
          <w:lang w:val="lv-LV"/>
        </w:rPr>
        <w:t>9</w:t>
      </w:r>
      <w:r w:rsidR="003169FF" w:rsidRPr="00F93849">
        <w:rPr>
          <w:bCs/>
          <w:szCs w:val="24"/>
          <w:lang w:val="lv-LV"/>
        </w:rPr>
        <w:t xml:space="preserve"> „</w:t>
      </w:r>
      <w:r w:rsidR="00346C51" w:rsidRPr="00F93849">
        <w:rPr>
          <w:szCs w:val="24"/>
          <w:lang w:val="lv-LV"/>
        </w:rPr>
        <w:t xml:space="preserve">Par </w:t>
      </w:r>
      <w:r w:rsidR="000057F0" w:rsidRPr="00F93849">
        <w:rPr>
          <w:szCs w:val="24"/>
          <w:lang w:val="lv-LV"/>
        </w:rPr>
        <w:t>Poļu kultūras centra maksas pakalpojuma cenrādi</w:t>
      </w:r>
      <w:r w:rsidR="003169FF" w:rsidRPr="00F93849">
        <w:rPr>
          <w:bCs/>
          <w:szCs w:val="24"/>
          <w:lang w:val="lv-LV"/>
        </w:rPr>
        <w:t>”.</w:t>
      </w:r>
    </w:p>
    <w:p w14:paraId="1A28BABF" w14:textId="77777777" w:rsidR="00C16251" w:rsidRPr="00F93849" w:rsidRDefault="00C16251" w:rsidP="00F93849">
      <w:pPr>
        <w:spacing w:after="0" w:line="240" w:lineRule="auto"/>
        <w:jc w:val="both"/>
        <w:rPr>
          <w:szCs w:val="24"/>
          <w:lang w:val="lv-LV"/>
        </w:rPr>
      </w:pPr>
    </w:p>
    <w:p w14:paraId="676B5474" w14:textId="77777777" w:rsidR="003169FF" w:rsidRPr="00F93849" w:rsidRDefault="003169FF" w:rsidP="00F93849">
      <w:pPr>
        <w:spacing w:after="0" w:line="240" w:lineRule="auto"/>
        <w:jc w:val="both"/>
        <w:rPr>
          <w:szCs w:val="24"/>
          <w:lang w:val="lv-LV"/>
        </w:rPr>
      </w:pPr>
    </w:p>
    <w:p w14:paraId="1B93C6F3" w14:textId="5167D80F" w:rsidR="003169FF" w:rsidRPr="00F93849" w:rsidRDefault="00F93849" w:rsidP="00F93849">
      <w:pPr>
        <w:pStyle w:val="Heading3"/>
        <w:spacing w:before="0" w:after="0" w:line="240" w:lineRule="auto"/>
        <w:jc w:val="both"/>
        <w:rPr>
          <w:rFonts w:ascii="Times New Roman" w:hAnsi="Times New Roman"/>
          <w:b w:val="0"/>
          <w:sz w:val="24"/>
          <w:szCs w:val="24"/>
          <w:lang w:val="lv-LV"/>
        </w:rPr>
      </w:pPr>
      <w:r>
        <w:rPr>
          <w:rFonts w:ascii="Times New Roman" w:hAnsi="Times New Roman"/>
          <w:b w:val="0"/>
          <w:sz w:val="24"/>
          <w:szCs w:val="24"/>
          <w:lang w:val="lv-LV"/>
        </w:rPr>
        <w:t>D</w:t>
      </w:r>
      <w:r w:rsidR="003169FF" w:rsidRPr="00F93849">
        <w:rPr>
          <w:rFonts w:ascii="Times New Roman" w:hAnsi="Times New Roman"/>
          <w:b w:val="0"/>
          <w:sz w:val="24"/>
          <w:szCs w:val="24"/>
          <w:lang w:val="lv-LV"/>
        </w:rPr>
        <w:t>omes priekšsēdētājs</w:t>
      </w:r>
      <w:r w:rsidR="003169FF" w:rsidRPr="00F93849">
        <w:rPr>
          <w:rFonts w:ascii="Times New Roman" w:hAnsi="Times New Roman"/>
          <w:b w:val="0"/>
          <w:sz w:val="24"/>
          <w:szCs w:val="24"/>
          <w:lang w:val="lv-LV"/>
        </w:rPr>
        <w:tab/>
      </w:r>
      <w:r w:rsidR="003169FF" w:rsidRPr="00F93849">
        <w:rPr>
          <w:rFonts w:ascii="Times New Roman" w:hAnsi="Times New Roman"/>
          <w:b w:val="0"/>
          <w:sz w:val="24"/>
          <w:szCs w:val="24"/>
          <w:lang w:val="lv-LV"/>
        </w:rPr>
        <w:tab/>
      </w:r>
      <w:r w:rsidR="004559EF" w:rsidRPr="004559EF">
        <w:rPr>
          <w:rFonts w:ascii="Times New Roman" w:hAnsi="Times New Roman"/>
          <w:b w:val="0"/>
          <w:i/>
          <w:sz w:val="24"/>
          <w:szCs w:val="24"/>
          <w:lang w:val="lv-LV"/>
        </w:rPr>
        <w:t>(personiskais paraksts)</w:t>
      </w:r>
      <w:r>
        <w:rPr>
          <w:rFonts w:ascii="Times New Roman" w:hAnsi="Times New Roman"/>
          <w:b w:val="0"/>
          <w:sz w:val="24"/>
          <w:szCs w:val="24"/>
          <w:lang w:val="lv-LV"/>
        </w:rPr>
        <w:t xml:space="preserve">                                           </w:t>
      </w:r>
      <w:proofErr w:type="spellStart"/>
      <w:r w:rsidR="003169FF" w:rsidRPr="00F93849">
        <w:rPr>
          <w:rFonts w:ascii="Times New Roman" w:hAnsi="Times New Roman"/>
          <w:b w:val="0"/>
          <w:sz w:val="24"/>
          <w:szCs w:val="24"/>
          <w:lang w:val="lv-LV"/>
        </w:rPr>
        <w:t>A.Elksniņš</w:t>
      </w:r>
      <w:proofErr w:type="spellEnd"/>
    </w:p>
    <w:p w14:paraId="0F4425D5" w14:textId="77777777" w:rsidR="003169FF" w:rsidRPr="00F93849" w:rsidRDefault="003169FF" w:rsidP="00F93849">
      <w:pPr>
        <w:spacing w:after="0" w:line="240" w:lineRule="auto"/>
        <w:jc w:val="both"/>
        <w:rPr>
          <w:szCs w:val="24"/>
          <w:lang w:val="lv-LV"/>
        </w:rPr>
      </w:pPr>
      <w:bookmarkStart w:id="2" w:name="_GoBack"/>
      <w:bookmarkEnd w:id="2"/>
    </w:p>
    <w:sectPr w:rsidR="003169FF" w:rsidRPr="00F93849" w:rsidSect="00F9384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9FF"/>
    <w:rsid w:val="00002FEB"/>
    <w:rsid w:val="000057F0"/>
    <w:rsid w:val="0001031A"/>
    <w:rsid w:val="00087E16"/>
    <w:rsid w:val="000C1090"/>
    <w:rsid w:val="000D67E2"/>
    <w:rsid w:val="00102F22"/>
    <w:rsid w:val="001145B7"/>
    <w:rsid w:val="00123B36"/>
    <w:rsid w:val="001429B1"/>
    <w:rsid w:val="0015733F"/>
    <w:rsid w:val="001A0D20"/>
    <w:rsid w:val="001A6F74"/>
    <w:rsid w:val="002323FD"/>
    <w:rsid w:val="002E0058"/>
    <w:rsid w:val="002E09DF"/>
    <w:rsid w:val="003169FF"/>
    <w:rsid w:val="00346C51"/>
    <w:rsid w:val="00365681"/>
    <w:rsid w:val="00447A2F"/>
    <w:rsid w:val="004559EF"/>
    <w:rsid w:val="00474CC8"/>
    <w:rsid w:val="004A4F1F"/>
    <w:rsid w:val="004B653B"/>
    <w:rsid w:val="00520E33"/>
    <w:rsid w:val="0058021D"/>
    <w:rsid w:val="005B0E67"/>
    <w:rsid w:val="006135D7"/>
    <w:rsid w:val="006558AB"/>
    <w:rsid w:val="006852DF"/>
    <w:rsid w:val="00700634"/>
    <w:rsid w:val="00783310"/>
    <w:rsid w:val="007C4C5D"/>
    <w:rsid w:val="00804159"/>
    <w:rsid w:val="00822D8C"/>
    <w:rsid w:val="008A097D"/>
    <w:rsid w:val="008C6EA5"/>
    <w:rsid w:val="009B061D"/>
    <w:rsid w:val="00A364DC"/>
    <w:rsid w:val="00A50332"/>
    <w:rsid w:val="00A53870"/>
    <w:rsid w:val="00AC5933"/>
    <w:rsid w:val="00AF4338"/>
    <w:rsid w:val="00B54267"/>
    <w:rsid w:val="00B80796"/>
    <w:rsid w:val="00BA52E7"/>
    <w:rsid w:val="00BD4106"/>
    <w:rsid w:val="00C16251"/>
    <w:rsid w:val="00CA0982"/>
    <w:rsid w:val="00CA1ADB"/>
    <w:rsid w:val="00CE6E00"/>
    <w:rsid w:val="00D73EF0"/>
    <w:rsid w:val="00D769FB"/>
    <w:rsid w:val="00DA2CC4"/>
    <w:rsid w:val="00E21E9D"/>
    <w:rsid w:val="00EE1CEF"/>
    <w:rsid w:val="00EF4162"/>
    <w:rsid w:val="00F20A57"/>
    <w:rsid w:val="00F247FB"/>
    <w:rsid w:val="00F50543"/>
    <w:rsid w:val="00F93849"/>
    <w:rsid w:val="00FD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4:docId w14:val="7CAE0F6E"/>
  <w15:docId w15:val="{2B923E8B-05E2-48DF-9671-0D2DAA19F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9FF"/>
    <w:rPr>
      <w:rFonts w:ascii="Times New Roman" w:eastAsia="Calibri" w:hAnsi="Times New Roman" w:cs="Times New Roman"/>
      <w:sz w:val="24"/>
      <w:szCs w:val="28"/>
      <w:lang w:val="ru-RU"/>
    </w:rPr>
  </w:style>
  <w:style w:type="paragraph" w:styleId="Heading1">
    <w:name w:val="heading 1"/>
    <w:basedOn w:val="Normal"/>
    <w:next w:val="Normal"/>
    <w:link w:val="Heading1Char"/>
    <w:qFormat/>
    <w:rsid w:val="003169FF"/>
    <w:pPr>
      <w:keepNext/>
      <w:spacing w:after="0" w:line="360" w:lineRule="auto"/>
      <w:jc w:val="both"/>
      <w:outlineLvl w:val="0"/>
    </w:pPr>
    <w:rPr>
      <w:b/>
      <w:lang w:val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69F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69FF"/>
    <w:rPr>
      <w:rFonts w:ascii="Times New Roman" w:eastAsia="Calibri" w:hAnsi="Times New Roman" w:cs="Times New Roman"/>
      <w:b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69FF"/>
    <w:rPr>
      <w:rFonts w:ascii="Cambria" w:eastAsia="Times New Roman" w:hAnsi="Cambria" w:cs="Times New Roman"/>
      <w:b/>
      <w:bCs/>
      <w:sz w:val="26"/>
      <w:szCs w:val="26"/>
      <w:lang w:val="ru-RU"/>
    </w:rPr>
  </w:style>
  <w:style w:type="paragraph" w:customStyle="1" w:styleId="a">
    <w:name w:val="Абзац списка"/>
    <w:basedOn w:val="Normal"/>
    <w:qFormat/>
    <w:rsid w:val="003169FF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semiHidden/>
    <w:rsid w:val="003169FF"/>
    <w:pPr>
      <w:spacing w:after="0" w:line="360" w:lineRule="auto"/>
      <w:ind w:firstLine="709"/>
    </w:pPr>
    <w:rPr>
      <w:lang w:val="lv-LV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3169FF"/>
    <w:rPr>
      <w:rFonts w:ascii="Times New Roman" w:eastAsia="Calibri" w:hAnsi="Times New Roman" w:cs="Times New Roman"/>
      <w:sz w:val="24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3169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169FF"/>
    <w:rPr>
      <w:rFonts w:ascii="Times New Roman" w:eastAsia="Calibri" w:hAnsi="Times New Roman" w:cs="Times New Roman"/>
      <w:sz w:val="24"/>
      <w:szCs w:val="28"/>
      <w:lang w:val="ru-RU"/>
    </w:rPr>
  </w:style>
  <w:style w:type="paragraph" w:customStyle="1" w:styleId="tv2132">
    <w:name w:val="tv2132"/>
    <w:basedOn w:val="Normal"/>
    <w:rsid w:val="003169FF"/>
    <w:pPr>
      <w:spacing w:after="0" w:line="360" w:lineRule="auto"/>
      <w:ind w:firstLine="300"/>
    </w:pPr>
    <w:rPr>
      <w:rFonts w:eastAsia="Times New Roman"/>
      <w:color w:val="414142"/>
      <w:sz w:val="20"/>
      <w:szCs w:val="20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9B1"/>
    <w:rPr>
      <w:rFonts w:ascii="Segoe UI" w:eastAsia="Calibri" w:hAnsi="Segoe UI" w:cs="Segoe UI"/>
      <w:sz w:val="18"/>
      <w:szCs w:val="18"/>
      <w:lang w:val="ru-RU"/>
    </w:rPr>
  </w:style>
  <w:style w:type="paragraph" w:styleId="Title">
    <w:name w:val="Title"/>
    <w:basedOn w:val="Normal"/>
    <w:link w:val="TitleChar"/>
    <w:qFormat/>
    <w:rsid w:val="001145B7"/>
    <w:pPr>
      <w:spacing w:after="0" w:line="240" w:lineRule="auto"/>
      <w:jc w:val="center"/>
    </w:pPr>
    <w:rPr>
      <w:rFonts w:eastAsia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1145B7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1585</Words>
  <Characters>904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 Zolotuhina</dc:creator>
  <cp:lastModifiedBy>Ina Skipare</cp:lastModifiedBy>
  <cp:revision>18</cp:revision>
  <cp:lastPrinted>2019-09-26T12:47:00Z</cp:lastPrinted>
  <dcterms:created xsi:type="dcterms:W3CDTF">2019-08-28T12:13:00Z</dcterms:created>
  <dcterms:modified xsi:type="dcterms:W3CDTF">2019-10-02T07:10:00Z</dcterms:modified>
</cp:coreProperties>
</file>