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54" w14:textId="77777777" w:rsidR="0001665F" w:rsidRDefault="0001665F" w:rsidP="00AE2767">
      <w:pPr>
        <w:pStyle w:val="Pamatteksts2"/>
        <w:spacing w:before="120"/>
        <w:jc w:val="right"/>
        <w:rPr>
          <w:b/>
          <w:bCs/>
          <w:sz w:val="24"/>
        </w:rPr>
      </w:pPr>
      <w:r>
        <w:rPr>
          <w:b/>
          <w:bCs/>
          <w:sz w:val="24"/>
        </w:rPr>
        <w:t>PROJEKTS</w:t>
      </w:r>
    </w:p>
    <w:p w14:paraId="423FB86F" w14:textId="77777777" w:rsidR="00C75D8D" w:rsidRDefault="00C75D8D" w:rsidP="0001665F">
      <w:pPr>
        <w:pStyle w:val="Pamatteksts2"/>
        <w:rPr>
          <w:b/>
          <w:bCs/>
          <w:sz w:val="24"/>
        </w:rPr>
      </w:pPr>
    </w:p>
    <w:p w14:paraId="28A269F5" w14:textId="3378F445" w:rsidR="000D3850" w:rsidRPr="007D6B44" w:rsidRDefault="0001665F" w:rsidP="0001665F">
      <w:pPr>
        <w:pStyle w:val="Pamatteksts2"/>
        <w:rPr>
          <w:b/>
          <w:bCs/>
          <w:sz w:val="24"/>
        </w:rPr>
      </w:pPr>
      <w:r w:rsidRPr="007D6B44">
        <w:rPr>
          <w:b/>
          <w:bCs/>
          <w:sz w:val="24"/>
        </w:rPr>
        <w:t>Daugavpils valstspilsētas pašvaldības domes saistošo noteikumu</w:t>
      </w:r>
    </w:p>
    <w:p w14:paraId="77EBB051" w14:textId="793C05E3" w:rsidR="0001665F" w:rsidRPr="007D6B44" w:rsidRDefault="0001665F" w:rsidP="0001665F">
      <w:pPr>
        <w:pStyle w:val="Pamatteksts2"/>
        <w:rPr>
          <w:b/>
          <w:bCs/>
          <w:sz w:val="24"/>
        </w:rPr>
      </w:pPr>
      <w:r w:rsidRPr="007D6B44">
        <w:rPr>
          <w:b/>
          <w:bCs/>
          <w:sz w:val="24"/>
        </w:rPr>
        <w:t xml:space="preserve"> “</w:t>
      </w:r>
      <w:r w:rsidR="007D6B44" w:rsidRPr="007D6B44">
        <w:rPr>
          <w:b/>
          <w:bCs/>
          <w:sz w:val="24"/>
        </w:rPr>
        <w:t>Par Daugavpils valstspilsētas pašvaldības domes 2005. gada 10. novembra saistošo noteikumu Nr. 20 “</w:t>
      </w:r>
      <w:r w:rsidR="007D6B44" w:rsidRPr="007D6B44">
        <w:rPr>
          <w:b/>
          <w:bCs/>
          <w:sz w:val="24"/>
          <w:shd w:val="clear" w:color="auto" w:fill="FFFFFF"/>
        </w:rPr>
        <w:t>Noteikumi par pašvaldības galvojumu studiju kredīta un studējošā kredīta saņemšanai</w:t>
      </w:r>
      <w:r w:rsidR="007D6B44" w:rsidRPr="007D6B44">
        <w:rPr>
          <w:b/>
          <w:bCs/>
          <w:sz w:val="24"/>
        </w:rPr>
        <w:t>” atzīšanu par spēku zaudējušiem</w:t>
      </w:r>
      <w:r w:rsidRPr="007D6B44">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1FFD93E" w14:textId="1C26AFA2" w:rsidR="004B3473" w:rsidRPr="004B3473" w:rsidRDefault="00DA5BD4" w:rsidP="004B3473">
            <w:pPr>
              <w:widowControl/>
              <w:spacing w:after="0" w:line="240" w:lineRule="auto"/>
              <w:ind w:right="102" w:firstLine="273"/>
              <w:jc w:val="both"/>
              <w:textAlignment w:val="baseline"/>
              <w:rPr>
                <w:rFonts w:ascii="Times New Roman" w:hAnsi="Times New Roman"/>
                <w:sz w:val="24"/>
                <w:szCs w:val="24"/>
                <w:shd w:val="clear" w:color="auto" w:fill="FFFFFF"/>
              </w:rPr>
            </w:pPr>
            <w:r w:rsidRPr="002A3267">
              <w:rPr>
                <w:rFonts w:ascii="Times New Roman" w:hAnsi="Times New Roman"/>
                <w:sz w:val="24"/>
                <w:szCs w:val="24"/>
                <w:shd w:val="clear" w:color="auto" w:fill="FFFFFF"/>
              </w:rPr>
              <w:t xml:space="preserve">Saskaņā ar likuma “Par pašvaldību budžetiem” 26. panta ceturto daļu </w:t>
            </w:r>
            <w:r w:rsidR="002A3267" w:rsidRPr="002A3267">
              <w:rPr>
                <w:rFonts w:ascii="Times New Roman" w:hAnsi="Times New Roman"/>
                <w:sz w:val="24"/>
                <w:szCs w:val="24"/>
                <w:shd w:val="clear" w:color="auto" w:fill="FFFFFF"/>
              </w:rPr>
              <w:t>pašvaldība var dot galvojumu par tām parāda saistībām, ko studējošais uzņemas Augstskolu likumā noteiktā studiju kredīta un studējošo kredīta saņemšanai no kredītiestādes. Augstskolu likuma 79. panta otrā daļa noteic, ka kārtību, kādā tiek piešķirti un atmaksāti studiju un studējošo kredīti no kredītiestāžu līdzekļiem, kas ir garantēti no valsts budžeta, Eiropas Savienības fondu vai starptautisko finanšu institūciju līdzekļiem, nosaka Ministru kabinets.</w:t>
            </w:r>
            <w:r w:rsidR="004B3473">
              <w:rPr>
                <w:rFonts w:ascii="Times New Roman" w:hAnsi="Times New Roman"/>
                <w:sz w:val="24"/>
                <w:szCs w:val="24"/>
                <w:shd w:val="clear" w:color="auto" w:fill="FFFFFF"/>
              </w:rPr>
              <w:t xml:space="preserve"> Savukārt </w:t>
            </w:r>
            <w:r w:rsidR="002A3267">
              <w:rPr>
                <w:rFonts w:ascii="Times New Roman" w:hAnsi="Times New Roman"/>
                <w:sz w:val="24"/>
                <w:szCs w:val="24"/>
              </w:rPr>
              <w:t>Ministru kabineta 2001. gada 29. maija noteikumu Nr. 220 “</w:t>
            </w:r>
            <w:r w:rsidR="002A3267" w:rsidRPr="002A3267">
              <w:rPr>
                <w:rFonts w:ascii="Times New Roman" w:hAnsi="Times New Roman"/>
                <w:sz w:val="24"/>
                <w:szCs w:val="24"/>
                <w:shd w:val="clear" w:color="auto" w:fill="FFFFFF"/>
              </w:rPr>
              <w:t>Kārtība, kādā tiek piešķirts, atmaksāts un dzēsts studiju kredīts un studējošā kredīts no kredītiestādes līdzekļiem ar valsts vārdā sniegtu galvojumu</w:t>
            </w:r>
            <w:r w:rsidR="002A3267">
              <w:rPr>
                <w:rFonts w:ascii="Times New Roman" w:hAnsi="Times New Roman"/>
                <w:sz w:val="24"/>
                <w:szCs w:val="24"/>
              </w:rPr>
              <w:t>” 13. punkt</w:t>
            </w:r>
            <w:r w:rsidR="004B3473">
              <w:rPr>
                <w:rFonts w:ascii="Times New Roman" w:hAnsi="Times New Roman"/>
                <w:sz w:val="24"/>
                <w:szCs w:val="24"/>
              </w:rPr>
              <w:t xml:space="preserve">s </w:t>
            </w:r>
            <w:r w:rsidR="002A3267">
              <w:rPr>
                <w:rFonts w:ascii="Times New Roman" w:hAnsi="Times New Roman"/>
                <w:sz w:val="24"/>
                <w:szCs w:val="24"/>
              </w:rPr>
              <w:t xml:space="preserve">noteica prasību kredīta izsniegšanai - </w:t>
            </w:r>
            <w:r w:rsidR="002A3267">
              <w:rPr>
                <w:rFonts w:ascii="Times New Roman" w:eastAsia="Times New Roman" w:hAnsi="Times New Roman"/>
                <w:iCs/>
                <w:sz w:val="24"/>
                <w:szCs w:val="24"/>
                <w:lang w:eastAsia="lv-LV"/>
              </w:rPr>
              <w:t xml:space="preserve">fiziskās personas vai pašvaldības galvojumu, </w:t>
            </w:r>
            <w:r w:rsidR="004B3473">
              <w:rPr>
                <w:rFonts w:ascii="Times New Roman" w:eastAsia="Times New Roman" w:hAnsi="Times New Roman"/>
                <w:iCs/>
                <w:sz w:val="24"/>
                <w:szCs w:val="24"/>
                <w:lang w:eastAsia="lv-LV"/>
              </w:rPr>
              <w:t>vai</w:t>
            </w:r>
            <w:r w:rsidR="002A3267">
              <w:rPr>
                <w:rFonts w:ascii="Times New Roman" w:eastAsia="Times New Roman" w:hAnsi="Times New Roman"/>
                <w:iCs/>
                <w:sz w:val="24"/>
                <w:szCs w:val="24"/>
                <w:lang w:eastAsia="lv-LV"/>
              </w:rPr>
              <w:t xml:space="preserve"> valsts galvojumu</w:t>
            </w:r>
            <w:r w:rsidR="004B3473">
              <w:rPr>
                <w:rFonts w:ascii="Times New Roman" w:eastAsia="Times New Roman" w:hAnsi="Times New Roman"/>
                <w:iCs/>
                <w:sz w:val="24"/>
                <w:szCs w:val="24"/>
                <w:lang w:eastAsia="lv-LV"/>
              </w:rPr>
              <w:t>.</w:t>
            </w:r>
          </w:p>
          <w:p w14:paraId="472515EB" w14:textId="70DBFC44" w:rsidR="00F21A1C" w:rsidRDefault="004B3473" w:rsidP="00F21A1C">
            <w:pPr>
              <w:widowControl/>
              <w:spacing w:after="0" w:line="240" w:lineRule="auto"/>
              <w:ind w:right="102" w:firstLine="273"/>
              <w:jc w:val="both"/>
              <w:textAlignment w:val="baseline"/>
              <w:rPr>
                <w:rFonts w:ascii="Times New Roman" w:hAnsi="Times New Roman"/>
                <w:sz w:val="24"/>
                <w:szCs w:val="24"/>
                <w:shd w:val="clear" w:color="auto" w:fill="FFFFFF"/>
              </w:rPr>
            </w:pPr>
            <w:r w:rsidRPr="004B3473">
              <w:rPr>
                <w:rFonts w:ascii="Times New Roman" w:hAnsi="Times New Roman"/>
                <w:sz w:val="24"/>
                <w:szCs w:val="24"/>
              </w:rPr>
              <w:t>2005. gada 10. novembrī pašvaldības dome apstiprināja saistošos noteikumus Nr. 20 “</w:t>
            </w:r>
            <w:r w:rsidRPr="004B3473">
              <w:rPr>
                <w:rFonts w:ascii="Times New Roman" w:hAnsi="Times New Roman"/>
                <w:sz w:val="24"/>
                <w:szCs w:val="24"/>
                <w:shd w:val="clear" w:color="auto" w:fill="FFFFFF"/>
              </w:rPr>
              <w:t>Noteikumi par pašvaldības galvojumu studiju kredīta un studējošā kredīta saņemšanai</w:t>
            </w:r>
            <w:r w:rsidRPr="004B3473">
              <w:rPr>
                <w:rFonts w:ascii="Times New Roman" w:hAnsi="Times New Roman"/>
                <w:sz w:val="24"/>
                <w:szCs w:val="24"/>
              </w:rPr>
              <w:t>”</w:t>
            </w:r>
            <w:r w:rsidR="00F21A1C">
              <w:rPr>
                <w:rFonts w:ascii="Times New Roman" w:hAnsi="Times New Roman"/>
                <w:sz w:val="24"/>
                <w:szCs w:val="24"/>
              </w:rPr>
              <w:t xml:space="preserve"> (turpmāk – Saistošie noteikumi Nr. 20)</w:t>
            </w:r>
            <w:r w:rsidRPr="004B3473">
              <w:rPr>
                <w:rFonts w:ascii="Times New Roman" w:hAnsi="Times New Roman"/>
                <w:sz w:val="24"/>
                <w:szCs w:val="24"/>
              </w:rPr>
              <w:t xml:space="preserve">, </w:t>
            </w:r>
            <w:r w:rsidRPr="004B3473">
              <w:rPr>
                <w:rFonts w:ascii="Times New Roman" w:hAnsi="Times New Roman"/>
                <w:sz w:val="24"/>
                <w:szCs w:val="24"/>
                <w:shd w:val="clear" w:color="auto" w:fill="FFFFFF"/>
              </w:rPr>
              <w:t>nosakot kārtību, kādā pašvaldības vārdā tiek sniegts galvojums par tām parāda saistībām, ko studējošās personas uzņemas studiju kredīta un studējošā kredīta saņemšanai no kredītiestādes.</w:t>
            </w:r>
          </w:p>
          <w:p w14:paraId="29617404" w14:textId="7CE8B761" w:rsidR="00606313" w:rsidRPr="00F21A1C" w:rsidRDefault="004B3473" w:rsidP="00F21A1C">
            <w:pPr>
              <w:widowControl/>
              <w:spacing w:after="0" w:line="240" w:lineRule="auto"/>
              <w:ind w:right="102" w:firstLine="273"/>
              <w:jc w:val="both"/>
              <w:textAlignment w:val="baseline"/>
              <w:rPr>
                <w:rFonts w:ascii="Times New Roman" w:hAnsi="Times New Roman"/>
                <w:sz w:val="24"/>
                <w:szCs w:val="24"/>
              </w:rPr>
            </w:pPr>
            <w:r w:rsidRPr="00F21A1C">
              <w:rPr>
                <w:rFonts w:ascii="Times New Roman" w:eastAsia="Times New Roman" w:hAnsi="Times New Roman"/>
                <w:iCs/>
                <w:sz w:val="24"/>
                <w:szCs w:val="24"/>
                <w:lang w:eastAsia="lv-LV"/>
              </w:rPr>
              <w:t>2020. gada 24. aprīlī stājās spējā jauni Ministru kabineta 2020. gada 21. aprīļa noteikumi Nr. 231 “</w:t>
            </w:r>
            <w:r w:rsidRPr="00F21A1C">
              <w:rPr>
                <w:rFonts w:ascii="Times New Roman" w:hAnsi="Times New Roman"/>
                <w:sz w:val="24"/>
                <w:szCs w:val="24"/>
                <w:shd w:val="clear" w:color="auto" w:fill="FFFFFF"/>
              </w:rPr>
              <w:t>Noteikumi par studiju un studējošo kreditēšanu studijām Latvijā no kredītiestāžu līdzekļiem, kas garantēti no valsts budžeta un starptautisko finanšu institūciju līdzekļiem</w:t>
            </w:r>
            <w:r w:rsidRPr="00F21A1C">
              <w:rPr>
                <w:rFonts w:ascii="Times New Roman" w:eastAsia="Times New Roman" w:hAnsi="Times New Roman"/>
                <w:iCs/>
                <w:sz w:val="24"/>
                <w:szCs w:val="24"/>
                <w:lang w:eastAsia="lv-LV"/>
              </w:rPr>
              <w:t>”, ieviešot jaunu studiju un studējošo kreditēšanas modeli, kas paredz atteikšanos no prasības par galvotāju</w:t>
            </w:r>
            <w:r w:rsidR="00606313" w:rsidRPr="00F21A1C">
              <w:rPr>
                <w:rFonts w:ascii="Times New Roman" w:eastAsia="Times New Roman" w:hAnsi="Times New Roman"/>
                <w:iCs/>
                <w:sz w:val="24"/>
                <w:szCs w:val="24"/>
                <w:lang w:eastAsia="lv-LV"/>
              </w:rPr>
              <w:t xml:space="preserve"> un portfeļgarantijas finanšu instrumenta ieviešanu (</w:t>
            </w:r>
            <w:r w:rsidR="00606313" w:rsidRPr="00F21A1C">
              <w:rPr>
                <w:rFonts w:ascii="Times New Roman" w:hAnsi="Times New Roman"/>
                <w:sz w:val="24"/>
                <w:szCs w:val="24"/>
              </w:rPr>
              <w:t>studiju un studējošo kreditēšanas sistēmas apraksts un tās trūkumi tika aprakstīti  konceptuāl</w:t>
            </w:r>
            <w:r w:rsidR="00F21A1C">
              <w:rPr>
                <w:rFonts w:ascii="Times New Roman" w:hAnsi="Times New Roman"/>
                <w:sz w:val="24"/>
                <w:szCs w:val="24"/>
              </w:rPr>
              <w:t>ajā</w:t>
            </w:r>
            <w:r w:rsidR="00606313" w:rsidRPr="00F21A1C">
              <w:rPr>
                <w:rFonts w:ascii="Times New Roman" w:hAnsi="Times New Roman"/>
                <w:sz w:val="24"/>
                <w:szCs w:val="24"/>
              </w:rPr>
              <w:t xml:space="preserve"> ziņojum</w:t>
            </w:r>
            <w:r w:rsidR="00F21A1C" w:rsidRPr="00F21A1C">
              <w:rPr>
                <w:rFonts w:ascii="Times New Roman" w:hAnsi="Times New Roman"/>
                <w:sz w:val="24"/>
                <w:szCs w:val="24"/>
              </w:rPr>
              <w:t>ā “Par studiju un studējošo kreditēšanas no kredītiestāžu līdzekļiem ar valsts vārdā sniegto galvojumu modeļa maiņu”</w:t>
            </w:r>
            <w:r w:rsidR="00606313" w:rsidRPr="00F21A1C">
              <w:rPr>
                <w:rFonts w:ascii="Times New Roman" w:hAnsi="Times New Roman"/>
                <w:sz w:val="24"/>
                <w:szCs w:val="24"/>
              </w:rPr>
              <w:t xml:space="preserve">, pieejams - </w:t>
            </w:r>
            <w:hyperlink r:id="rId8" w:history="1">
              <w:r w:rsidR="00606313" w:rsidRPr="00F21A1C">
                <w:rPr>
                  <w:rStyle w:val="Hipersaite"/>
                  <w:rFonts w:ascii="Times New Roman" w:hAnsi="Times New Roman"/>
                  <w:color w:val="auto"/>
                  <w:sz w:val="24"/>
                  <w:szCs w:val="24"/>
                </w:rPr>
                <w:t>https://likumi.lv/ta/id/308338-par-konceptualo-zinojumu-par-studiju-un-studejoso-kreditesanas-no-kreditiestazu-lidzekliem-ar-valsts-varda-sniegto-galvojumu</w:t>
              </w:r>
            </w:hyperlink>
            <w:r w:rsidR="00606313" w:rsidRPr="00F21A1C">
              <w:rPr>
                <w:rFonts w:ascii="Times New Roman" w:eastAsia="Times New Roman" w:hAnsi="Times New Roman"/>
                <w:iCs/>
                <w:sz w:val="24"/>
                <w:szCs w:val="24"/>
                <w:lang w:eastAsia="lv-LV"/>
              </w:rPr>
              <w:t xml:space="preserve">). Respektīvi, studiju vai studējošā kredīta saņemšanai pašvaldības galvojums vairs netiek pieprasīts. </w:t>
            </w:r>
          </w:p>
          <w:p w14:paraId="159D309F" w14:textId="62788092" w:rsidR="002A3267" w:rsidRDefault="002A3267" w:rsidP="002A3267">
            <w:pPr>
              <w:widowControl/>
              <w:spacing w:after="0" w:line="240" w:lineRule="auto"/>
              <w:ind w:right="102" w:firstLine="421"/>
              <w:jc w:val="both"/>
              <w:textAlignment w:val="baseline"/>
              <w:rPr>
                <w:rFonts w:ascii="Times New Roman" w:hAnsi="Times New Roman"/>
                <w:sz w:val="24"/>
                <w:szCs w:val="24"/>
              </w:rPr>
            </w:pPr>
            <w:r w:rsidRPr="00731ED0">
              <w:rPr>
                <w:rFonts w:ascii="Times New Roman" w:hAnsi="Times New Roman"/>
                <w:sz w:val="24"/>
                <w:szCs w:val="24"/>
              </w:rPr>
              <w:t xml:space="preserve">Pašvaldību likuma pārejas noteikumu 6. punktā noteikts, ka pašvaldības dome izvērtē uz likuma </w:t>
            </w:r>
            <w:r>
              <w:rPr>
                <w:rFonts w:ascii="Times New Roman" w:hAnsi="Times New Roman"/>
                <w:sz w:val="24"/>
                <w:szCs w:val="24"/>
              </w:rPr>
              <w:t>“</w:t>
            </w:r>
            <w:r w:rsidRPr="00731ED0">
              <w:rPr>
                <w:rFonts w:ascii="Times New Roman" w:hAnsi="Times New Roman"/>
                <w:sz w:val="24"/>
                <w:szCs w:val="24"/>
              </w:rPr>
              <w:t>Par pašvaldībām</w:t>
            </w:r>
            <w:r>
              <w:rPr>
                <w:rFonts w:ascii="Times New Roman" w:hAnsi="Times New Roman"/>
                <w:sz w:val="24"/>
                <w:szCs w:val="24"/>
              </w:rPr>
              <w:t>”</w:t>
            </w:r>
            <w:r w:rsidRPr="00731ED0">
              <w:rPr>
                <w:rFonts w:ascii="Times New Roman" w:hAnsi="Times New Roman"/>
                <w:sz w:val="24"/>
                <w:szCs w:val="24"/>
              </w:rPr>
              <w:t xml:space="preserve"> normu pamata izdotos saistošos noteikumus un izdod jaunus noteikumus atbilstoši Pašvaldību likumā ietvertajam pilnvarojumam.</w:t>
            </w:r>
            <w:r>
              <w:rPr>
                <w:rFonts w:ascii="Times New Roman" w:hAnsi="Times New Roman"/>
                <w:sz w:val="24"/>
                <w:szCs w:val="24"/>
              </w:rPr>
              <w:t xml:space="preserve"> </w:t>
            </w:r>
          </w:p>
          <w:p w14:paraId="7682FB4C" w14:textId="3EC1C120" w:rsidR="002A3267" w:rsidRPr="00F21A1C" w:rsidRDefault="002A3267" w:rsidP="00F21A1C">
            <w:pPr>
              <w:pStyle w:val="tv213"/>
              <w:shd w:val="clear" w:color="auto" w:fill="FFFFFF"/>
              <w:spacing w:before="0" w:beforeAutospacing="0" w:after="0" w:afterAutospacing="0" w:line="293" w:lineRule="atLeast"/>
              <w:ind w:firstLine="415"/>
              <w:jc w:val="both"/>
              <w:rPr>
                <w:shd w:val="clear" w:color="auto" w:fill="FFFFFF"/>
              </w:rPr>
            </w:pPr>
            <w:r>
              <w:rPr>
                <w:shd w:val="clear" w:color="auto" w:fill="FFFFFF"/>
              </w:rPr>
              <w:t>Ņemot vērā</w:t>
            </w:r>
            <w:r w:rsidR="00F21A1C">
              <w:rPr>
                <w:shd w:val="clear" w:color="auto" w:fill="FFFFFF"/>
              </w:rPr>
              <w:t xml:space="preserve"> iepriekšminēto un</w:t>
            </w:r>
            <w:r>
              <w:rPr>
                <w:shd w:val="clear" w:color="auto" w:fill="FFFFFF"/>
              </w:rPr>
              <w:t xml:space="preserve"> to, ka </w:t>
            </w:r>
            <w:r w:rsidRPr="00235535">
              <w:rPr>
                <w:shd w:val="clear" w:color="auto" w:fill="FFFFFF"/>
              </w:rPr>
              <w:t xml:space="preserve">Saistošie noteikumi Nr. </w:t>
            </w:r>
            <w:r w:rsidR="00F21A1C">
              <w:rPr>
                <w:shd w:val="clear" w:color="auto" w:fill="FFFFFF"/>
              </w:rPr>
              <w:t>20</w:t>
            </w:r>
            <w:r w:rsidRPr="00235535">
              <w:rPr>
                <w:shd w:val="clear" w:color="auto" w:fill="FFFFFF"/>
              </w:rPr>
              <w:t xml:space="preserve"> </w:t>
            </w:r>
            <w:r w:rsidRPr="00235535">
              <w:t xml:space="preserve">ir izdoti citstarp saskaņā ar likuma “Par pašvaldībām” 43. panta </w:t>
            </w:r>
            <w:r w:rsidR="00F21A1C">
              <w:t>trešo daļu</w:t>
            </w:r>
            <w:r>
              <w:t xml:space="preserve">, </w:t>
            </w:r>
            <w:r w:rsidR="00F21A1C">
              <w:t xml:space="preserve">secināts, ka </w:t>
            </w:r>
            <w:r w:rsidR="00F21A1C" w:rsidRPr="00235535">
              <w:rPr>
                <w:shd w:val="clear" w:color="auto" w:fill="FFFFFF"/>
              </w:rPr>
              <w:t xml:space="preserve">Saistošie noteikumi Nr. </w:t>
            </w:r>
            <w:r w:rsidR="00F21A1C">
              <w:rPr>
                <w:shd w:val="clear" w:color="auto" w:fill="FFFFFF"/>
              </w:rPr>
              <w:t>20 atzīstami par spēku zaudējušiem.</w:t>
            </w:r>
          </w:p>
        </w:tc>
      </w:tr>
      <w:tr w:rsidR="009E05F5" w:rsidRPr="0001665F" w14:paraId="474E86B5"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CDE41D3" w14:textId="77777777" w:rsidR="00FA37C2" w:rsidRDefault="00F21A1C" w:rsidP="00262ED3">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projekts pašvaldības budžetu neietekmē.</w:t>
            </w:r>
          </w:p>
          <w:p w14:paraId="60C6D7B8" w14:textId="7A0C0B20" w:rsidR="00F21A1C" w:rsidRPr="009A70BC" w:rsidRDefault="00F21A1C" w:rsidP="00262ED3">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Uz saistošo noteikumu projekta sagatavošanas brīdi pašvaldība nav </w:t>
            </w:r>
            <w:r w:rsidR="00525ABB">
              <w:rPr>
                <w:rFonts w:ascii="Times New Roman" w:hAnsi="Times New Roman"/>
                <w:sz w:val="24"/>
                <w:szCs w:val="24"/>
                <w:shd w:val="clear" w:color="auto" w:fill="FFFFFF"/>
              </w:rPr>
              <w:t>izsniegusi galvojumus studiju kredīta saņemšanai no kredītiestādes.</w:t>
            </w:r>
            <w:r>
              <w:rPr>
                <w:rFonts w:ascii="Times New Roman" w:hAnsi="Times New Roman"/>
                <w:sz w:val="24"/>
                <w:szCs w:val="24"/>
                <w:shd w:val="clear" w:color="auto" w:fill="FFFFFF"/>
              </w:rPr>
              <w:t xml:space="preserve">  </w:t>
            </w:r>
          </w:p>
        </w:tc>
      </w:tr>
      <w:tr w:rsidR="009E05F5" w:rsidRPr="0001665F" w14:paraId="62BD0F58"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64F7945F" w:rsidR="00EE5981" w:rsidRPr="00EE5981" w:rsidRDefault="00525ABB" w:rsidP="006878A2">
            <w:pPr>
              <w:pStyle w:val="Sarakstarindkopa"/>
              <w:widowControl/>
              <w:spacing w:after="0" w:line="240" w:lineRule="auto"/>
              <w:ind w:left="0" w:right="102" w:firstLine="273"/>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Nav ietekmes.</w:t>
            </w:r>
          </w:p>
        </w:tc>
      </w:tr>
      <w:tr w:rsidR="009E05F5" w:rsidRPr="0001665F" w14:paraId="2E1F6AC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40585D" w14:textId="28081DFA" w:rsidR="00AB38E9" w:rsidRPr="00C84198" w:rsidRDefault="00525ABB" w:rsidP="00525ABB">
            <w:pPr>
              <w:widowControl/>
              <w:shd w:val="clear" w:color="auto" w:fill="FFFFFF"/>
              <w:spacing w:after="0" w:line="293" w:lineRule="atLeast"/>
              <w:ind w:firstLine="273"/>
              <w:jc w:val="both"/>
              <w:rPr>
                <w:rFonts w:ascii="Times New Roman" w:eastAsia="Times New Roman" w:hAnsi="Times New Roman"/>
                <w:sz w:val="24"/>
                <w:szCs w:val="24"/>
                <w:lang w:eastAsia="zh-CN"/>
              </w:rPr>
            </w:pPr>
            <w:r>
              <w:rPr>
                <w:rFonts w:ascii="Times New Roman" w:hAnsi="Times New Roman"/>
                <w:sz w:val="24"/>
                <w:szCs w:val="24"/>
                <w:shd w:val="clear" w:color="auto" w:fill="FFFFFF"/>
              </w:rPr>
              <w:t>Nav ietekmes.</w:t>
            </w:r>
          </w:p>
          <w:p w14:paraId="6281F1A0" w14:textId="55AAA25E" w:rsidR="009E05F5" w:rsidRPr="008670FD" w:rsidRDefault="009E05F5" w:rsidP="00AB38E9">
            <w:pPr>
              <w:widowControl/>
              <w:spacing w:after="0" w:line="240" w:lineRule="auto"/>
              <w:jc w:val="both"/>
              <w:rPr>
                <w:rFonts w:ascii="Times New Roman" w:eastAsia="Times New Roman" w:hAnsi="Times New Roman"/>
                <w:sz w:val="24"/>
                <w:szCs w:val="24"/>
                <w:lang w:eastAsia="lv-LV"/>
              </w:rPr>
            </w:pPr>
          </w:p>
        </w:tc>
      </w:tr>
      <w:tr w:rsidR="009E05F5" w:rsidRPr="0001665F" w14:paraId="03283CF1"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492D908D" w:rsidR="009E05F5" w:rsidRPr="0001665F" w:rsidRDefault="00525ABB" w:rsidP="00525ABB">
            <w:pPr>
              <w:widowControl/>
              <w:spacing w:after="0" w:line="240" w:lineRule="auto"/>
              <w:ind w:right="102" w:firstLine="273"/>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Nav ietekmes.</w:t>
            </w:r>
          </w:p>
        </w:tc>
      </w:tr>
      <w:tr w:rsidR="009E05F5" w:rsidRPr="0001665F" w14:paraId="073E96F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13FB3CA4" w:rsidR="009E05F5" w:rsidRPr="0001665F" w:rsidRDefault="00525ABB" w:rsidP="00525ABB">
            <w:pPr>
              <w:widowControl/>
              <w:spacing w:after="0" w:line="240" w:lineRule="auto"/>
              <w:ind w:right="102" w:firstLine="27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tc>
      </w:tr>
      <w:tr w:rsidR="009E05F5" w:rsidRPr="0001665F" w14:paraId="54FAF4F2"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51AEFD2D" w:rsidR="009E05F5" w:rsidRPr="002E38CB" w:rsidRDefault="00525ABB" w:rsidP="00525ABB">
            <w:pPr>
              <w:widowControl/>
              <w:spacing w:after="0" w:line="240" w:lineRule="auto"/>
              <w:ind w:right="102" w:firstLine="27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tc>
      </w:tr>
      <w:tr w:rsidR="009E05F5" w:rsidRPr="0001665F" w14:paraId="448AE16E" w14:textId="77777777" w:rsidTr="005561D2">
        <w:trPr>
          <w:trHeight w:val="13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FFEB74" w14:textId="77777777" w:rsidR="00E8046B" w:rsidRDefault="008D2B42" w:rsidP="00262ED3">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9"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B103D9">
              <w:rPr>
                <w:rFonts w:ascii="Times New Roman" w:eastAsia="Times New Roman" w:hAnsi="Times New Roman"/>
                <w:sz w:val="24"/>
                <w:szCs w:val="24"/>
                <w:lang w:eastAsia="lv-LV"/>
              </w:rPr>
              <w:t>24</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262ED3">
              <w:rPr>
                <w:rFonts w:ascii="Times New Roman" w:eastAsia="Times New Roman" w:hAnsi="Times New Roman"/>
                <w:sz w:val="24"/>
                <w:szCs w:val="24"/>
                <w:lang w:eastAsia="lv-LV"/>
              </w:rPr>
              <w:t>oktobra</w:t>
            </w:r>
            <w:r>
              <w:rPr>
                <w:rFonts w:ascii="Times New Roman" w:eastAsia="Times New Roman" w:hAnsi="Times New Roman"/>
                <w:sz w:val="24"/>
                <w:szCs w:val="24"/>
                <w:lang w:eastAsia="lv-LV"/>
              </w:rPr>
              <w:t xml:space="preserve"> līdz 2023. gada </w:t>
            </w:r>
            <w:r w:rsidR="00FC32E1">
              <w:rPr>
                <w:rFonts w:ascii="Times New Roman" w:eastAsia="Times New Roman" w:hAnsi="Times New Roman"/>
                <w:sz w:val="24"/>
                <w:szCs w:val="24"/>
                <w:lang w:eastAsia="lv-LV"/>
              </w:rPr>
              <w:t>7</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525ABB">
              <w:rPr>
                <w:rFonts w:ascii="Times New Roman" w:eastAsia="Times New Roman" w:hAnsi="Times New Roman"/>
                <w:sz w:val="24"/>
                <w:szCs w:val="24"/>
                <w:lang w:eastAsia="lv-LV"/>
              </w:rPr>
              <w:t>novembrim</w:t>
            </w:r>
            <w:r w:rsidR="00EF7CD1">
              <w:rPr>
                <w:rFonts w:ascii="Times New Roman" w:eastAsia="Times New Roman" w:hAnsi="Times New Roman"/>
                <w:sz w:val="24"/>
                <w:szCs w:val="24"/>
                <w:lang w:eastAsia="lv-LV"/>
              </w:rPr>
              <w:t>.</w:t>
            </w:r>
            <w:r w:rsidR="00E87F5C">
              <w:rPr>
                <w:rFonts w:ascii="Times New Roman" w:eastAsia="Times New Roman" w:hAnsi="Times New Roman"/>
                <w:sz w:val="24"/>
                <w:szCs w:val="24"/>
                <w:lang w:eastAsia="lv-LV"/>
              </w:rPr>
              <w:t xml:space="preserve"> </w:t>
            </w:r>
          </w:p>
          <w:p w14:paraId="70428F93" w14:textId="1477A9E7" w:rsidR="0019796F" w:rsidRPr="0001665F" w:rsidRDefault="0019796F" w:rsidP="00262ED3">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2F8B4DF1" w:rsidR="00E93ACB" w:rsidRDefault="0001665F" w:rsidP="00AE2767">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t>A.Elksniņš</w:t>
      </w:r>
    </w:p>
    <w:sectPr w:rsidR="00E93ACB" w:rsidSect="0001665F">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8046B" w:rsidRDefault="00E8046B"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8046B" w:rsidRPr="000A534A" w:rsidRDefault="00E8046B"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3474875"/>
    <w:multiLevelType w:val="hybridMultilevel"/>
    <w:tmpl w:val="EDB24822"/>
    <w:lvl w:ilvl="0" w:tplc="0426000B">
      <w:start w:val="1"/>
      <w:numFmt w:val="bullet"/>
      <w:lvlText w:val=""/>
      <w:lvlJc w:val="left"/>
      <w:pPr>
        <w:ind w:left="1134" w:hanging="360"/>
      </w:pPr>
      <w:rPr>
        <w:rFonts w:ascii="Wingdings" w:hAnsi="Wingdings"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1A51B6C"/>
    <w:multiLevelType w:val="hybridMultilevel"/>
    <w:tmpl w:val="A594BDE4"/>
    <w:lvl w:ilvl="0" w:tplc="61AEBAFA">
      <w:start w:val="2023"/>
      <w:numFmt w:val="bullet"/>
      <w:lvlText w:val="-"/>
      <w:lvlJc w:val="left"/>
      <w:pPr>
        <w:ind w:left="633" w:hanging="360"/>
      </w:pPr>
      <w:rPr>
        <w:rFonts w:ascii="Times New Roman" w:eastAsia="Calibri" w:hAnsi="Times New Roman" w:cs="Times New Roman" w:hint="default"/>
      </w:rPr>
    </w:lvl>
    <w:lvl w:ilvl="1" w:tplc="04260003" w:tentative="1">
      <w:start w:val="1"/>
      <w:numFmt w:val="bullet"/>
      <w:lvlText w:val="o"/>
      <w:lvlJc w:val="left"/>
      <w:pPr>
        <w:ind w:left="1353" w:hanging="360"/>
      </w:pPr>
      <w:rPr>
        <w:rFonts w:ascii="Courier New" w:hAnsi="Courier New" w:cs="Courier New" w:hint="default"/>
      </w:rPr>
    </w:lvl>
    <w:lvl w:ilvl="2" w:tplc="04260005" w:tentative="1">
      <w:start w:val="1"/>
      <w:numFmt w:val="bullet"/>
      <w:lvlText w:val=""/>
      <w:lvlJc w:val="left"/>
      <w:pPr>
        <w:ind w:left="2073" w:hanging="360"/>
      </w:pPr>
      <w:rPr>
        <w:rFonts w:ascii="Wingdings" w:hAnsi="Wingdings" w:hint="default"/>
      </w:rPr>
    </w:lvl>
    <w:lvl w:ilvl="3" w:tplc="04260001" w:tentative="1">
      <w:start w:val="1"/>
      <w:numFmt w:val="bullet"/>
      <w:lvlText w:val=""/>
      <w:lvlJc w:val="left"/>
      <w:pPr>
        <w:ind w:left="2793" w:hanging="360"/>
      </w:pPr>
      <w:rPr>
        <w:rFonts w:ascii="Symbol" w:hAnsi="Symbol" w:hint="default"/>
      </w:rPr>
    </w:lvl>
    <w:lvl w:ilvl="4" w:tplc="04260003" w:tentative="1">
      <w:start w:val="1"/>
      <w:numFmt w:val="bullet"/>
      <w:lvlText w:val="o"/>
      <w:lvlJc w:val="left"/>
      <w:pPr>
        <w:ind w:left="3513" w:hanging="360"/>
      </w:pPr>
      <w:rPr>
        <w:rFonts w:ascii="Courier New" w:hAnsi="Courier New" w:cs="Courier New" w:hint="default"/>
      </w:rPr>
    </w:lvl>
    <w:lvl w:ilvl="5" w:tplc="04260005" w:tentative="1">
      <w:start w:val="1"/>
      <w:numFmt w:val="bullet"/>
      <w:lvlText w:val=""/>
      <w:lvlJc w:val="left"/>
      <w:pPr>
        <w:ind w:left="4233" w:hanging="360"/>
      </w:pPr>
      <w:rPr>
        <w:rFonts w:ascii="Wingdings" w:hAnsi="Wingdings" w:hint="default"/>
      </w:rPr>
    </w:lvl>
    <w:lvl w:ilvl="6" w:tplc="04260001" w:tentative="1">
      <w:start w:val="1"/>
      <w:numFmt w:val="bullet"/>
      <w:lvlText w:val=""/>
      <w:lvlJc w:val="left"/>
      <w:pPr>
        <w:ind w:left="4953" w:hanging="360"/>
      </w:pPr>
      <w:rPr>
        <w:rFonts w:ascii="Symbol" w:hAnsi="Symbol" w:hint="default"/>
      </w:rPr>
    </w:lvl>
    <w:lvl w:ilvl="7" w:tplc="04260003" w:tentative="1">
      <w:start w:val="1"/>
      <w:numFmt w:val="bullet"/>
      <w:lvlText w:val="o"/>
      <w:lvlJc w:val="left"/>
      <w:pPr>
        <w:ind w:left="5673" w:hanging="360"/>
      </w:pPr>
      <w:rPr>
        <w:rFonts w:ascii="Courier New" w:hAnsi="Courier New" w:cs="Courier New" w:hint="default"/>
      </w:rPr>
    </w:lvl>
    <w:lvl w:ilvl="8" w:tplc="04260005" w:tentative="1">
      <w:start w:val="1"/>
      <w:numFmt w:val="bullet"/>
      <w:lvlText w:val=""/>
      <w:lvlJc w:val="left"/>
      <w:pPr>
        <w:ind w:left="6393"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724385">
    <w:abstractNumId w:val="8"/>
  </w:num>
  <w:num w:numId="2" w16cid:durableId="1290550986">
    <w:abstractNumId w:val="17"/>
  </w:num>
  <w:num w:numId="3" w16cid:durableId="1091702647">
    <w:abstractNumId w:val="16"/>
  </w:num>
  <w:num w:numId="4" w16cid:durableId="1872719456">
    <w:abstractNumId w:val="20"/>
  </w:num>
  <w:num w:numId="5" w16cid:durableId="1285965939">
    <w:abstractNumId w:val="24"/>
  </w:num>
  <w:num w:numId="6" w16cid:durableId="1194924208">
    <w:abstractNumId w:val="18"/>
  </w:num>
  <w:num w:numId="7" w16cid:durableId="935207578">
    <w:abstractNumId w:val="6"/>
  </w:num>
  <w:num w:numId="8" w16cid:durableId="1774322243">
    <w:abstractNumId w:val="21"/>
  </w:num>
  <w:num w:numId="9" w16cid:durableId="2061203714">
    <w:abstractNumId w:val="0"/>
  </w:num>
  <w:num w:numId="10" w16cid:durableId="2084908592">
    <w:abstractNumId w:val="4"/>
  </w:num>
  <w:num w:numId="11" w16cid:durableId="1911577547">
    <w:abstractNumId w:val="12"/>
  </w:num>
  <w:num w:numId="12" w16cid:durableId="1881240988">
    <w:abstractNumId w:val="9"/>
  </w:num>
  <w:num w:numId="13" w16cid:durableId="825704182">
    <w:abstractNumId w:val="7"/>
  </w:num>
  <w:num w:numId="14" w16cid:durableId="894123681">
    <w:abstractNumId w:val="15"/>
  </w:num>
  <w:num w:numId="15" w16cid:durableId="777217284">
    <w:abstractNumId w:val="3"/>
  </w:num>
  <w:num w:numId="16" w16cid:durableId="1260991887">
    <w:abstractNumId w:val="23"/>
  </w:num>
  <w:num w:numId="17" w16cid:durableId="1049959676">
    <w:abstractNumId w:val="5"/>
  </w:num>
  <w:num w:numId="18" w16cid:durableId="1645042456">
    <w:abstractNumId w:val="22"/>
  </w:num>
  <w:num w:numId="19" w16cid:durableId="1480150393">
    <w:abstractNumId w:val="19"/>
  </w:num>
  <w:num w:numId="20" w16cid:durableId="7341792">
    <w:abstractNumId w:val="25"/>
  </w:num>
  <w:num w:numId="21" w16cid:durableId="682560455">
    <w:abstractNumId w:val="2"/>
  </w:num>
  <w:num w:numId="22" w16cid:durableId="1323662569">
    <w:abstractNumId w:val="14"/>
  </w:num>
  <w:num w:numId="23" w16cid:durableId="281808318">
    <w:abstractNumId w:val="10"/>
  </w:num>
  <w:num w:numId="24" w16cid:durableId="261572499">
    <w:abstractNumId w:val="13"/>
  </w:num>
  <w:num w:numId="25" w16cid:durableId="307325456">
    <w:abstractNumId w:val="11"/>
  </w:num>
  <w:num w:numId="26" w16cid:durableId="114184604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066"/>
    <w:rsid w:val="00010503"/>
    <w:rsid w:val="00011A41"/>
    <w:rsid w:val="0001665F"/>
    <w:rsid w:val="00022435"/>
    <w:rsid w:val="000257AD"/>
    <w:rsid w:val="00025F90"/>
    <w:rsid w:val="00027E66"/>
    <w:rsid w:val="00034B0F"/>
    <w:rsid w:val="00040263"/>
    <w:rsid w:val="0004597B"/>
    <w:rsid w:val="00054409"/>
    <w:rsid w:val="000805DC"/>
    <w:rsid w:val="000841A7"/>
    <w:rsid w:val="0008640A"/>
    <w:rsid w:val="00095538"/>
    <w:rsid w:val="000A71E5"/>
    <w:rsid w:val="000A7847"/>
    <w:rsid w:val="000B143B"/>
    <w:rsid w:val="000B17E9"/>
    <w:rsid w:val="000B44E7"/>
    <w:rsid w:val="000B5785"/>
    <w:rsid w:val="000C6C33"/>
    <w:rsid w:val="000D3850"/>
    <w:rsid w:val="000E7BFF"/>
    <w:rsid w:val="000F152C"/>
    <w:rsid w:val="0010761A"/>
    <w:rsid w:val="00110E80"/>
    <w:rsid w:val="00111C57"/>
    <w:rsid w:val="0011426F"/>
    <w:rsid w:val="00117B43"/>
    <w:rsid w:val="00133BD9"/>
    <w:rsid w:val="00143B6A"/>
    <w:rsid w:val="00144923"/>
    <w:rsid w:val="0015389C"/>
    <w:rsid w:val="00163BC6"/>
    <w:rsid w:val="00164097"/>
    <w:rsid w:val="00172F46"/>
    <w:rsid w:val="00173D43"/>
    <w:rsid w:val="0017695F"/>
    <w:rsid w:val="0018339D"/>
    <w:rsid w:val="00184041"/>
    <w:rsid w:val="00184183"/>
    <w:rsid w:val="00185A40"/>
    <w:rsid w:val="00187DEF"/>
    <w:rsid w:val="001948D9"/>
    <w:rsid w:val="0019796F"/>
    <w:rsid w:val="001A37E2"/>
    <w:rsid w:val="001A4C06"/>
    <w:rsid w:val="001B21E3"/>
    <w:rsid w:val="001B2E50"/>
    <w:rsid w:val="001D27B1"/>
    <w:rsid w:val="001D2AE4"/>
    <w:rsid w:val="001D62E8"/>
    <w:rsid w:val="001E2774"/>
    <w:rsid w:val="001F368A"/>
    <w:rsid w:val="001F51E8"/>
    <w:rsid w:val="00205465"/>
    <w:rsid w:val="00212775"/>
    <w:rsid w:val="00212FFB"/>
    <w:rsid w:val="002309D2"/>
    <w:rsid w:val="0023658F"/>
    <w:rsid w:val="00243EE7"/>
    <w:rsid w:val="002541C0"/>
    <w:rsid w:val="00257708"/>
    <w:rsid w:val="00261513"/>
    <w:rsid w:val="00262C0A"/>
    <w:rsid w:val="00262ED3"/>
    <w:rsid w:val="00271648"/>
    <w:rsid w:val="00272738"/>
    <w:rsid w:val="0027664F"/>
    <w:rsid w:val="002819A1"/>
    <w:rsid w:val="00285870"/>
    <w:rsid w:val="00294231"/>
    <w:rsid w:val="002A3267"/>
    <w:rsid w:val="002A5439"/>
    <w:rsid w:val="002A5A1D"/>
    <w:rsid w:val="002A79E3"/>
    <w:rsid w:val="002B741E"/>
    <w:rsid w:val="002C063C"/>
    <w:rsid w:val="002C2A56"/>
    <w:rsid w:val="002C4048"/>
    <w:rsid w:val="002D644F"/>
    <w:rsid w:val="002E19CC"/>
    <w:rsid w:val="002E2806"/>
    <w:rsid w:val="002E38CB"/>
    <w:rsid w:val="002E6DBA"/>
    <w:rsid w:val="002F079F"/>
    <w:rsid w:val="002F26F7"/>
    <w:rsid w:val="002F4794"/>
    <w:rsid w:val="00300584"/>
    <w:rsid w:val="003042B5"/>
    <w:rsid w:val="003258AD"/>
    <w:rsid w:val="0032761A"/>
    <w:rsid w:val="00334FE8"/>
    <w:rsid w:val="00337146"/>
    <w:rsid w:val="00337F07"/>
    <w:rsid w:val="00356E8B"/>
    <w:rsid w:val="00357914"/>
    <w:rsid w:val="00360021"/>
    <w:rsid w:val="003804C8"/>
    <w:rsid w:val="00395302"/>
    <w:rsid w:val="00396FDC"/>
    <w:rsid w:val="003A0994"/>
    <w:rsid w:val="003B38A1"/>
    <w:rsid w:val="003B48EA"/>
    <w:rsid w:val="003B55E9"/>
    <w:rsid w:val="003C1B02"/>
    <w:rsid w:val="003C2C7D"/>
    <w:rsid w:val="003E6222"/>
    <w:rsid w:val="003E63A2"/>
    <w:rsid w:val="003E74F2"/>
    <w:rsid w:val="003F0E31"/>
    <w:rsid w:val="003F2F18"/>
    <w:rsid w:val="003F5653"/>
    <w:rsid w:val="00404075"/>
    <w:rsid w:val="00415370"/>
    <w:rsid w:val="00421371"/>
    <w:rsid w:val="004261D4"/>
    <w:rsid w:val="004308EA"/>
    <w:rsid w:val="00460922"/>
    <w:rsid w:val="00463B7D"/>
    <w:rsid w:val="00466DEE"/>
    <w:rsid w:val="0046789B"/>
    <w:rsid w:val="00470C5D"/>
    <w:rsid w:val="00484A6D"/>
    <w:rsid w:val="00486914"/>
    <w:rsid w:val="00486C9D"/>
    <w:rsid w:val="00487C07"/>
    <w:rsid w:val="00491930"/>
    <w:rsid w:val="004A7A35"/>
    <w:rsid w:val="004B3473"/>
    <w:rsid w:val="004C1FEF"/>
    <w:rsid w:val="004C374F"/>
    <w:rsid w:val="004C590A"/>
    <w:rsid w:val="004C6B84"/>
    <w:rsid w:val="004D09E5"/>
    <w:rsid w:val="004D1441"/>
    <w:rsid w:val="004D1808"/>
    <w:rsid w:val="004D3B24"/>
    <w:rsid w:val="004D7EBB"/>
    <w:rsid w:val="004E1B75"/>
    <w:rsid w:val="004E4AD5"/>
    <w:rsid w:val="004E7108"/>
    <w:rsid w:val="004F15C3"/>
    <w:rsid w:val="004F4B37"/>
    <w:rsid w:val="004F5BDA"/>
    <w:rsid w:val="004F7053"/>
    <w:rsid w:val="00500205"/>
    <w:rsid w:val="00501625"/>
    <w:rsid w:val="00504A13"/>
    <w:rsid w:val="0051645F"/>
    <w:rsid w:val="00516D51"/>
    <w:rsid w:val="00525ABB"/>
    <w:rsid w:val="00526DA9"/>
    <w:rsid w:val="00530B89"/>
    <w:rsid w:val="005432AF"/>
    <w:rsid w:val="00544EC8"/>
    <w:rsid w:val="005453EA"/>
    <w:rsid w:val="005561D2"/>
    <w:rsid w:val="00562AC6"/>
    <w:rsid w:val="00570482"/>
    <w:rsid w:val="00570E9E"/>
    <w:rsid w:val="00571342"/>
    <w:rsid w:val="0057584E"/>
    <w:rsid w:val="0058209F"/>
    <w:rsid w:val="00584855"/>
    <w:rsid w:val="00595ADE"/>
    <w:rsid w:val="005A14AD"/>
    <w:rsid w:val="005A3D3F"/>
    <w:rsid w:val="005A5A70"/>
    <w:rsid w:val="005B1117"/>
    <w:rsid w:val="005C4CEC"/>
    <w:rsid w:val="005D4C61"/>
    <w:rsid w:val="005D646E"/>
    <w:rsid w:val="005E55EE"/>
    <w:rsid w:val="005F0BB2"/>
    <w:rsid w:val="00602056"/>
    <w:rsid w:val="00603486"/>
    <w:rsid w:val="00606313"/>
    <w:rsid w:val="00611F20"/>
    <w:rsid w:val="00614E39"/>
    <w:rsid w:val="00616C0D"/>
    <w:rsid w:val="0062559F"/>
    <w:rsid w:val="0062646D"/>
    <w:rsid w:val="00642D8F"/>
    <w:rsid w:val="00644B80"/>
    <w:rsid w:val="00652B0F"/>
    <w:rsid w:val="006536DA"/>
    <w:rsid w:val="0065473C"/>
    <w:rsid w:val="006556D6"/>
    <w:rsid w:val="0067054F"/>
    <w:rsid w:val="00672FF5"/>
    <w:rsid w:val="00680B69"/>
    <w:rsid w:val="006816E6"/>
    <w:rsid w:val="00684771"/>
    <w:rsid w:val="006878A2"/>
    <w:rsid w:val="006B04EA"/>
    <w:rsid w:val="006B23E9"/>
    <w:rsid w:val="006C4019"/>
    <w:rsid w:val="006C6E97"/>
    <w:rsid w:val="006E30DC"/>
    <w:rsid w:val="006E4861"/>
    <w:rsid w:val="006F66D1"/>
    <w:rsid w:val="00700B7B"/>
    <w:rsid w:val="007059F8"/>
    <w:rsid w:val="00707109"/>
    <w:rsid w:val="00712C16"/>
    <w:rsid w:val="00720861"/>
    <w:rsid w:val="00733751"/>
    <w:rsid w:val="00734E8A"/>
    <w:rsid w:val="007371F3"/>
    <w:rsid w:val="0073750C"/>
    <w:rsid w:val="00746760"/>
    <w:rsid w:val="007471B9"/>
    <w:rsid w:val="0074779C"/>
    <w:rsid w:val="007532E7"/>
    <w:rsid w:val="00754B4B"/>
    <w:rsid w:val="00756FBE"/>
    <w:rsid w:val="007630B8"/>
    <w:rsid w:val="00766E4B"/>
    <w:rsid w:val="007767D2"/>
    <w:rsid w:val="00784B25"/>
    <w:rsid w:val="00785648"/>
    <w:rsid w:val="0079294C"/>
    <w:rsid w:val="007A27CB"/>
    <w:rsid w:val="007A542D"/>
    <w:rsid w:val="007A5971"/>
    <w:rsid w:val="007B30B5"/>
    <w:rsid w:val="007B35B7"/>
    <w:rsid w:val="007B3919"/>
    <w:rsid w:val="007B61AF"/>
    <w:rsid w:val="007D6B44"/>
    <w:rsid w:val="007E49E7"/>
    <w:rsid w:val="007F4DC0"/>
    <w:rsid w:val="008002CB"/>
    <w:rsid w:val="0080272C"/>
    <w:rsid w:val="00807BB8"/>
    <w:rsid w:val="00810223"/>
    <w:rsid w:val="008132D9"/>
    <w:rsid w:val="008259BA"/>
    <w:rsid w:val="00833B15"/>
    <w:rsid w:val="008411D1"/>
    <w:rsid w:val="00846D29"/>
    <w:rsid w:val="00847451"/>
    <w:rsid w:val="00853B78"/>
    <w:rsid w:val="008670FD"/>
    <w:rsid w:val="00875B52"/>
    <w:rsid w:val="00880A44"/>
    <w:rsid w:val="008863DB"/>
    <w:rsid w:val="0089003A"/>
    <w:rsid w:val="00891664"/>
    <w:rsid w:val="008A3613"/>
    <w:rsid w:val="008A3D7E"/>
    <w:rsid w:val="008A4A95"/>
    <w:rsid w:val="008A5B4F"/>
    <w:rsid w:val="008A5F8E"/>
    <w:rsid w:val="008A6FE1"/>
    <w:rsid w:val="008A745D"/>
    <w:rsid w:val="008B035F"/>
    <w:rsid w:val="008C2963"/>
    <w:rsid w:val="008C359F"/>
    <w:rsid w:val="008C3C6D"/>
    <w:rsid w:val="008C5977"/>
    <w:rsid w:val="008D2B42"/>
    <w:rsid w:val="008E43E8"/>
    <w:rsid w:val="008F0767"/>
    <w:rsid w:val="009035BF"/>
    <w:rsid w:val="00910ABC"/>
    <w:rsid w:val="00921308"/>
    <w:rsid w:val="00924299"/>
    <w:rsid w:val="00925920"/>
    <w:rsid w:val="00926A5D"/>
    <w:rsid w:val="00953209"/>
    <w:rsid w:val="0095570A"/>
    <w:rsid w:val="00961A25"/>
    <w:rsid w:val="00965DBD"/>
    <w:rsid w:val="009722B4"/>
    <w:rsid w:val="009A23CC"/>
    <w:rsid w:val="009A70BC"/>
    <w:rsid w:val="009B0BC5"/>
    <w:rsid w:val="009B116D"/>
    <w:rsid w:val="009B604D"/>
    <w:rsid w:val="009C6929"/>
    <w:rsid w:val="009D6800"/>
    <w:rsid w:val="009E05F5"/>
    <w:rsid w:val="009E1CC5"/>
    <w:rsid w:val="009F0C20"/>
    <w:rsid w:val="00A02919"/>
    <w:rsid w:val="00A03C9E"/>
    <w:rsid w:val="00A06DAD"/>
    <w:rsid w:val="00A121B5"/>
    <w:rsid w:val="00A1527A"/>
    <w:rsid w:val="00A1677D"/>
    <w:rsid w:val="00A17D10"/>
    <w:rsid w:val="00A200F6"/>
    <w:rsid w:val="00A41D53"/>
    <w:rsid w:val="00A41F7E"/>
    <w:rsid w:val="00A43D07"/>
    <w:rsid w:val="00A464B2"/>
    <w:rsid w:val="00A54D47"/>
    <w:rsid w:val="00A5637C"/>
    <w:rsid w:val="00A632B6"/>
    <w:rsid w:val="00A7113C"/>
    <w:rsid w:val="00A76158"/>
    <w:rsid w:val="00A7749E"/>
    <w:rsid w:val="00A80DA3"/>
    <w:rsid w:val="00A90018"/>
    <w:rsid w:val="00A90C8C"/>
    <w:rsid w:val="00A9141E"/>
    <w:rsid w:val="00A94CDD"/>
    <w:rsid w:val="00A95244"/>
    <w:rsid w:val="00AA0436"/>
    <w:rsid w:val="00AA6FEE"/>
    <w:rsid w:val="00AB1785"/>
    <w:rsid w:val="00AB38E9"/>
    <w:rsid w:val="00AB70BA"/>
    <w:rsid w:val="00AC6350"/>
    <w:rsid w:val="00AD3FE1"/>
    <w:rsid w:val="00AD6AC1"/>
    <w:rsid w:val="00AE2767"/>
    <w:rsid w:val="00AE779C"/>
    <w:rsid w:val="00AF469C"/>
    <w:rsid w:val="00AF4B3C"/>
    <w:rsid w:val="00AF691D"/>
    <w:rsid w:val="00AF69BB"/>
    <w:rsid w:val="00B01C82"/>
    <w:rsid w:val="00B103D9"/>
    <w:rsid w:val="00B116B4"/>
    <w:rsid w:val="00B14EB9"/>
    <w:rsid w:val="00B1729D"/>
    <w:rsid w:val="00B204A8"/>
    <w:rsid w:val="00B227C4"/>
    <w:rsid w:val="00B339C7"/>
    <w:rsid w:val="00B41F88"/>
    <w:rsid w:val="00B42B4D"/>
    <w:rsid w:val="00B44B61"/>
    <w:rsid w:val="00B51EC1"/>
    <w:rsid w:val="00B709F2"/>
    <w:rsid w:val="00B87341"/>
    <w:rsid w:val="00B9223A"/>
    <w:rsid w:val="00B93C4A"/>
    <w:rsid w:val="00B96BD1"/>
    <w:rsid w:val="00B96EEA"/>
    <w:rsid w:val="00BA35E9"/>
    <w:rsid w:val="00BA6830"/>
    <w:rsid w:val="00BA74CA"/>
    <w:rsid w:val="00BB171E"/>
    <w:rsid w:val="00BB31C3"/>
    <w:rsid w:val="00BD7DC5"/>
    <w:rsid w:val="00BE09CF"/>
    <w:rsid w:val="00BE209B"/>
    <w:rsid w:val="00BF06FF"/>
    <w:rsid w:val="00BF2618"/>
    <w:rsid w:val="00BF3CD2"/>
    <w:rsid w:val="00BF55ED"/>
    <w:rsid w:val="00C006B9"/>
    <w:rsid w:val="00C0197C"/>
    <w:rsid w:val="00C0431F"/>
    <w:rsid w:val="00C1292C"/>
    <w:rsid w:val="00C145F0"/>
    <w:rsid w:val="00C303F5"/>
    <w:rsid w:val="00C309E6"/>
    <w:rsid w:val="00C34223"/>
    <w:rsid w:val="00C359CF"/>
    <w:rsid w:val="00C41902"/>
    <w:rsid w:val="00C43708"/>
    <w:rsid w:val="00C474D7"/>
    <w:rsid w:val="00C528F9"/>
    <w:rsid w:val="00C5639E"/>
    <w:rsid w:val="00C574F1"/>
    <w:rsid w:val="00C575AB"/>
    <w:rsid w:val="00C65030"/>
    <w:rsid w:val="00C733B2"/>
    <w:rsid w:val="00C7464D"/>
    <w:rsid w:val="00C75D8D"/>
    <w:rsid w:val="00C81EF2"/>
    <w:rsid w:val="00C84198"/>
    <w:rsid w:val="00C85055"/>
    <w:rsid w:val="00C86BFA"/>
    <w:rsid w:val="00C914AA"/>
    <w:rsid w:val="00CB1B1B"/>
    <w:rsid w:val="00CB46FA"/>
    <w:rsid w:val="00CB5B73"/>
    <w:rsid w:val="00CB6B72"/>
    <w:rsid w:val="00CC0F24"/>
    <w:rsid w:val="00CC5819"/>
    <w:rsid w:val="00CC72F4"/>
    <w:rsid w:val="00CD20C1"/>
    <w:rsid w:val="00CD42CA"/>
    <w:rsid w:val="00CD435D"/>
    <w:rsid w:val="00CE31AB"/>
    <w:rsid w:val="00CE4A19"/>
    <w:rsid w:val="00CF5583"/>
    <w:rsid w:val="00CF5713"/>
    <w:rsid w:val="00CF6F09"/>
    <w:rsid w:val="00D103DF"/>
    <w:rsid w:val="00D56341"/>
    <w:rsid w:val="00D610DD"/>
    <w:rsid w:val="00D62689"/>
    <w:rsid w:val="00D63B06"/>
    <w:rsid w:val="00D73D64"/>
    <w:rsid w:val="00D74CE8"/>
    <w:rsid w:val="00D80A2D"/>
    <w:rsid w:val="00D9356B"/>
    <w:rsid w:val="00DA164A"/>
    <w:rsid w:val="00DA4EAC"/>
    <w:rsid w:val="00DA5BD4"/>
    <w:rsid w:val="00DB264E"/>
    <w:rsid w:val="00DD113F"/>
    <w:rsid w:val="00DD1BF1"/>
    <w:rsid w:val="00DD7085"/>
    <w:rsid w:val="00DF032F"/>
    <w:rsid w:val="00E015F0"/>
    <w:rsid w:val="00E0218F"/>
    <w:rsid w:val="00E02618"/>
    <w:rsid w:val="00E05774"/>
    <w:rsid w:val="00E0592F"/>
    <w:rsid w:val="00E100CA"/>
    <w:rsid w:val="00E13511"/>
    <w:rsid w:val="00E20803"/>
    <w:rsid w:val="00E2368F"/>
    <w:rsid w:val="00E44539"/>
    <w:rsid w:val="00E8046B"/>
    <w:rsid w:val="00E835FC"/>
    <w:rsid w:val="00E8535E"/>
    <w:rsid w:val="00E87F5C"/>
    <w:rsid w:val="00E909F2"/>
    <w:rsid w:val="00E93047"/>
    <w:rsid w:val="00E93ACB"/>
    <w:rsid w:val="00EA2411"/>
    <w:rsid w:val="00EA2A43"/>
    <w:rsid w:val="00EA5FDF"/>
    <w:rsid w:val="00EB0655"/>
    <w:rsid w:val="00EB7244"/>
    <w:rsid w:val="00EC1664"/>
    <w:rsid w:val="00EC1F1F"/>
    <w:rsid w:val="00EC23DF"/>
    <w:rsid w:val="00EC46B2"/>
    <w:rsid w:val="00EC6739"/>
    <w:rsid w:val="00ED75B3"/>
    <w:rsid w:val="00EE1D82"/>
    <w:rsid w:val="00EE5981"/>
    <w:rsid w:val="00EF4F7F"/>
    <w:rsid w:val="00EF56CE"/>
    <w:rsid w:val="00EF7CD1"/>
    <w:rsid w:val="00F02247"/>
    <w:rsid w:val="00F06278"/>
    <w:rsid w:val="00F12AF8"/>
    <w:rsid w:val="00F176DE"/>
    <w:rsid w:val="00F21A1C"/>
    <w:rsid w:val="00F25BE1"/>
    <w:rsid w:val="00F462E1"/>
    <w:rsid w:val="00F56769"/>
    <w:rsid w:val="00F56D2A"/>
    <w:rsid w:val="00F579AE"/>
    <w:rsid w:val="00F60E90"/>
    <w:rsid w:val="00F63654"/>
    <w:rsid w:val="00F6395C"/>
    <w:rsid w:val="00F63986"/>
    <w:rsid w:val="00F648EF"/>
    <w:rsid w:val="00F73EC3"/>
    <w:rsid w:val="00F7479B"/>
    <w:rsid w:val="00F74E3D"/>
    <w:rsid w:val="00F81151"/>
    <w:rsid w:val="00F819EF"/>
    <w:rsid w:val="00F85238"/>
    <w:rsid w:val="00F87EB5"/>
    <w:rsid w:val="00F903DD"/>
    <w:rsid w:val="00F90465"/>
    <w:rsid w:val="00F94119"/>
    <w:rsid w:val="00F96B85"/>
    <w:rsid w:val="00FA1A85"/>
    <w:rsid w:val="00FA37C2"/>
    <w:rsid w:val="00FA65CC"/>
    <w:rsid w:val="00FB1909"/>
    <w:rsid w:val="00FB698A"/>
    <w:rsid w:val="00FC318B"/>
    <w:rsid w:val="00FC32E1"/>
    <w:rsid w:val="00FC3D4E"/>
    <w:rsid w:val="00FD1482"/>
    <w:rsid w:val="00FD607E"/>
    <w:rsid w:val="00FE4DE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F21A1C"/>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table" w:styleId="Reatabula">
    <w:name w:val="Table Grid"/>
    <w:basedOn w:val="Parastatabula"/>
    <w:uiPriority w:val="39"/>
    <w:rsid w:val="00BB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9223A"/>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606313"/>
    <w:rPr>
      <w:color w:val="954F72" w:themeColor="followedHyperlink"/>
      <w:u w:val="single"/>
    </w:rPr>
  </w:style>
  <w:style w:type="character" w:customStyle="1" w:styleId="Virsraksts3Rakstz">
    <w:name w:val="Virsraksts 3 Rakstz."/>
    <w:basedOn w:val="Noklusjumarindkopasfonts"/>
    <w:link w:val="Virsraksts3"/>
    <w:uiPriority w:val="9"/>
    <w:rsid w:val="00F21A1C"/>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71249">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18309108">
      <w:bodyDiv w:val="1"/>
      <w:marLeft w:val="0"/>
      <w:marRight w:val="0"/>
      <w:marTop w:val="0"/>
      <w:marBottom w:val="0"/>
      <w:divBdr>
        <w:top w:val="none" w:sz="0" w:space="0" w:color="auto"/>
        <w:left w:val="none" w:sz="0" w:space="0" w:color="auto"/>
        <w:bottom w:val="none" w:sz="0" w:space="0" w:color="auto"/>
        <w:right w:val="none" w:sz="0" w:space="0" w:color="auto"/>
      </w:divBdr>
    </w:div>
    <w:div w:id="170656124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86391151">
      <w:bodyDiv w:val="1"/>
      <w:marLeft w:val="0"/>
      <w:marRight w:val="0"/>
      <w:marTop w:val="0"/>
      <w:marBottom w:val="0"/>
      <w:divBdr>
        <w:top w:val="none" w:sz="0" w:space="0" w:color="auto"/>
        <w:left w:val="none" w:sz="0" w:space="0" w:color="auto"/>
        <w:bottom w:val="none" w:sz="0" w:space="0" w:color="auto"/>
        <w:right w:val="none" w:sz="0" w:space="0" w:color="auto"/>
      </w:divBdr>
    </w:div>
    <w:div w:id="2130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8338-par-konceptualo-zinojumu-par-studiju-un-studejoso-kreditesanas-no-kreditiestazu-lidzekliem-ar-valsts-varda-sniegto-galvojum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2</Pages>
  <Words>2796</Words>
  <Characters>1594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Limbēna</dc:creator>
  <cp:keywords/>
  <dc:description/>
  <cp:lastModifiedBy>Inga Limbena</cp:lastModifiedBy>
  <cp:revision>123</cp:revision>
  <cp:lastPrinted>2023-11-08T06:48:00Z</cp:lastPrinted>
  <dcterms:created xsi:type="dcterms:W3CDTF">2022-12-23T09:23:00Z</dcterms:created>
  <dcterms:modified xsi:type="dcterms:W3CDTF">2023-11-08T06:53:00Z</dcterms:modified>
</cp:coreProperties>
</file>