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3D" w:rsidRPr="006B5C27" w:rsidRDefault="006B5C27" w:rsidP="006B5C27">
      <w:pPr>
        <w:jc w:val="center"/>
      </w:pPr>
      <w:r w:rsidRPr="006B5C27">
        <w:rPr>
          <w:rFonts w:ascii="Times New Roman" w:hAnsi="Times New Roman" w:cs="Times New Roman"/>
          <w:i/>
          <w:noProof/>
          <w:sz w:val="24"/>
          <w:szCs w:val="24"/>
          <w:lang w:val="en-US"/>
        </w:rPr>
        <w:drawing>
          <wp:anchor distT="0" distB="0" distL="114300" distR="114300" simplePos="0" relativeHeight="251659264" behindDoc="1" locked="0" layoutInCell="1" allowOverlap="1" wp14:anchorId="3772644D" wp14:editId="3A7EBA6F">
            <wp:simplePos x="0" y="0"/>
            <wp:positionH relativeFrom="column">
              <wp:posOffset>0</wp:posOffset>
            </wp:positionH>
            <wp:positionV relativeFrom="paragraph">
              <wp:posOffset>285750</wp:posOffset>
            </wp:positionV>
            <wp:extent cx="1714500" cy="1714500"/>
            <wp:effectExtent l="0" t="0" r="0" b="0"/>
            <wp:wrapTight wrapText="bothSides">
              <wp:wrapPolygon edited="0">
                <wp:start x="0" y="0"/>
                <wp:lineTo x="0" y="21360"/>
                <wp:lineTo x="21360" y="21360"/>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ay logo.jpg"/>
                    <pic:cNvPicPr/>
                  </pic:nvPicPr>
                  <pic:blipFill>
                    <a:blip r:embed="rId4">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rsidR="006B5C27" w:rsidRPr="006B5C27" w:rsidRDefault="006B5C27" w:rsidP="006B5C27">
      <w:pPr>
        <w:spacing w:after="100" w:afterAutospacing="1" w:line="240" w:lineRule="auto"/>
        <w:jc w:val="center"/>
        <w:rPr>
          <w:rFonts w:ascii="Arial Narrow" w:eastAsia="Times New Roman" w:hAnsi="Arial Narrow" w:cs="Segoe UI"/>
          <w:color w:val="002060"/>
          <w:sz w:val="24"/>
          <w:szCs w:val="24"/>
        </w:rPr>
      </w:pPr>
      <w:r w:rsidRPr="006B5C27">
        <w:rPr>
          <w:rFonts w:ascii="Arial Narrow" w:eastAsia="Times New Roman" w:hAnsi="Arial Narrow" w:cs="Segoe UI"/>
          <w:color w:val="002060"/>
          <w:sz w:val="24"/>
          <w:szCs w:val="24"/>
        </w:rPr>
        <w:t>Eiropas Ekonomikas zonas finanšu instrumenta un Norvēģijas finanšu instrumenta 2014. - 2021. gada perioda programma “Pētniecība un izglītība” aktivitāte “Inovācijas centri”</w:t>
      </w:r>
    </w:p>
    <w:p w:rsidR="006B5C27" w:rsidRPr="006B5C27" w:rsidRDefault="006B5C27" w:rsidP="006B5C27">
      <w:pPr>
        <w:spacing w:after="100" w:afterAutospacing="1" w:line="240" w:lineRule="auto"/>
        <w:jc w:val="center"/>
        <w:rPr>
          <w:rFonts w:ascii="Arial Narrow" w:eastAsia="Times New Roman" w:hAnsi="Arial Narrow" w:cs="Segoe UI"/>
          <w:b/>
          <w:color w:val="002060"/>
          <w:sz w:val="24"/>
          <w:szCs w:val="24"/>
        </w:rPr>
      </w:pPr>
      <w:r w:rsidRPr="006B5C27">
        <w:rPr>
          <w:rFonts w:ascii="Arial Narrow" w:eastAsia="Times New Roman" w:hAnsi="Arial Narrow" w:cs="Segoe UI"/>
          <w:b/>
          <w:color w:val="002060"/>
          <w:sz w:val="24"/>
          <w:szCs w:val="24"/>
        </w:rPr>
        <w:t>Projekts “Inovāciju centra izveidošana Daugavpilī”,                                 Proj.nr. NFI/IC/VIAA/2020/4, Līguma Nr. Nr.9.-20.2.2.1/4</w:t>
      </w:r>
    </w:p>
    <w:p w:rsidR="006B5C27" w:rsidRPr="006B5C27" w:rsidRDefault="006B5C27" w:rsidP="006B5C27">
      <w:pPr>
        <w:spacing w:after="100" w:afterAutospacing="1" w:line="240" w:lineRule="auto"/>
        <w:jc w:val="center"/>
        <w:rPr>
          <w:rFonts w:ascii="Arial Narrow" w:eastAsia="Times New Roman" w:hAnsi="Arial Narrow" w:cs="Segoe UI"/>
          <w:b/>
          <w:color w:val="002060"/>
          <w:sz w:val="24"/>
          <w:szCs w:val="24"/>
        </w:rPr>
      </w:pPr>
      <w:r w:rsidRPr="006B5C27">
        <w:rPr>
          <w:rFonts w:ascii="Arial Narrow" w:eastAsia="Times New Roman" w:hAnsi="Arial Narrow" w:cs="Segoe UI"/>
          <w:b/>
          <w:color w:val="002060"/>
          <w:sz w:val="24"/>
          <w:szCs w:val="24"/>
        </w:rPr>
        <w:t>Aktivitāte: Apmācības pedagogiem - neformālās tālākizglītības  programmas īstenošana</w:t>
      </w:r>
    </w:p>
    <w:p w:rsidR="006B5C27" w:rsidRPr="006B5C27" w:rsidRDefault="006B5C27" w:rsidP="006B5C27">
      <w:pPr>
        <w:spacing w:after="100" w:afterAutospacing="1" w:line="240" w:lineRule="auto"/>
        <w:jc w:val="both"/>
        <w:rPr>
          <w:rFonts w:ascii="Arial Narrow" w:eastAsia="Times New Roman" w:hAnsi="Arial Narrow" w:cs="Segoe UI"/>
          <w:color w:val="002060"/>
          <w:sz w:val="24"/>
          <w:szCs w:val="24"/>
        </w:rPr>
      </w:pPr>
      <w:r w:rsidRPr="00281F39">
        <w:rPr>
          <w:rFonts w:ascii="Arial Narrow" w:eastAsia="Times New Roman" w:hAnsi="Arial Narrow" w:cs="Segoe UI"/>
          <w:b/>
          <w:color w:val="002060"/>
          <w:sz w:val="24"/>
          <w:szCs w:val="24"/>
        </w:rPr>
        <w:t>Skolotāju neformālās tālākizglītības apmācību mērķis</w:t>
      </w:r>
      <w:r w:rsidRPr="006B5C27">
        <w:rPr>
          <w:rFonts w:ascii="Arial Narrow" w:eastAsia="Times New Roman" w:hAnsi="Arial Narrow" w:cs="Segoe UI"/>
          <w:color w:val="002060"/>
          <w:sz w:val="24"/>
          <w:szCs w:val="24"/>
        </w:rPr>
        <w:t xml:space="preserve">: </w:t>
      </w:r>
      <w:r w:rsidRPr="00281F39">
        <w:rPr>
          <w:rFonts w:ascii="Arial Narrow" w:eastAsia="Times New Roman" w:hAnsi="Arial Narrow" w:cs="Segoe UI"/>
          <w:color w:val="002060"/>
          <w:sz w:val="24"/>
          <w:szCs w:val="24"/>
        </w:rPr>
        <w:t xml:space="preserve"> pilnveidot pedagogu zināšanas, prasmes un kompetences STEM izglītības jomā un mācīšanas metodikā, veicinot inovatīvu zināšanu apguvi un piedāvājot jaunus mācīšanās rīkus, tādējādi nodrošinot uz pētījumiem balstītas zināšanas un stiprinot pedagogu spēju iedvesmot un motivēt, kā arī atbalstīt jauniešus vairāk pievērsties dabaszinātņu, tehnoloģiju un uzņēmējdarbības studijām un karjeras izvēlei STEM jomā, savu nākotnes mērķu īstenošanai un sabiedrības ilgtspējīgai attīstībai. </w:t>
      </w:r>
    </w:p>
    <w:p w:rsidR="006B5C27" w:rsidRPr="00281F39" w:rsidRDefault="006B5C27" w:rsidP="006B5C27">
      <w:pPr>
        <w:spacing w:after="100" w:afterAutospacing="1" w:line="240" w:lineRule="auto"/>
        <w:jc w:val="both"/>
        <w:rPr>
          <w:rFonts w:ascii="Arial Narrow" w:eastAsia="Times New Roman" w:hAnsi="Arial Narrow" w:cs="Segoe UI"/>
          <w:color w:val="002060"/>
          <w:sz w:val="24"/>
          <w:szCs w:val="24"/>
        </w:rPr>
      </w:pPr>
      <w:r w:rsidRPr="00281F39">
        <w:rPr>
          <w:rFonts w:ascii="Arial Narrow" w:eastAsia="Times New Roman" w:hAnsi="Arial Narrow" w:cs="Segoe UI"/>
          <w:b/>
          <w:bCs/>
          <w:color w:val="002060"/>
          <w:sz w:val="24"/>
          <w:szCs w:val="24"/>
        </w:rPr>
        <w:t>Programmas uzdevumi</w:t>
      </w:r>
      <w:r w:rsidRPr="00281F39">
        <w:rPr>
          <w:rFonts w:ascii="Arial Narrow" w:eastAsia="Times New Roman" w:hAnsi="Arial Narrow" w:cs="Segoe UI"/>
          <w:color w:val="002060"/>
          <w:sz w:val="24"/>
          <w:szCs w:val="24"/>
        </w:rPr>
        <w:t>: pilnveidot STEM jomas pedagogu profesionālo kompetenci vispārizglītojošo skolu un interešu izglītības pedagogiem, sekmēt STEM jomas vispārizglītojošo un interešu izglītības pedagogu izpratnes padziļināšanu par mūsdienu  pedagoģiskā procesa norisi un organizēšanas īpatnībām. </w:t>
      </w:r>
    </w:p>
    <w:p w:rsidR="006B5C27" w:rsidRPr="00281F39" w:rsidRDefault="006B5C27" w:rsidP="006B5C27">
      <w:pPr>
        <w:spacing w:after="100" w:afterAutospacing="1" w:line="240" w:lineRule="auto"/>
        <w:jc w:val="both"/>
        <w:rPr>
          <w:rFonts w:ascii="Arial Narrow" w:eastAsia="Times New Roman" w:hAnsi="Arial Narrow" w:cs="Segoe UI"/>
          <w:color w:val="002060"/>
          <w:sz w:val="24"/>
          <w:szCs w:val="24"/>
        </w:rPr>
      </w:pPr>
      <w:r w:rsidRPr="00281F39">
        <w:rPr>
          <w:rFonts w:ascii="Arial Narrow" w:eastAsia="Times New Roman" w:hAnsi="Arial Narrow" w:cs="Segoe UI"/>
          <w:b/>
          <w:bCs/>
          <w:color w:val="002060"/>
          <w:sz w:val="24"/>
          <w:szCs w:val="24"/>
        </w:rPr>
        <w:t>Programmas norise:</w:t>
      </w:r>
      <w:r w:rsidRPr="00281F39">
        <w:rPr>
          <w:rFonts w:ascii="Arial Narrow" w:eastAsia="Times New Roman" w:hAnsi="Arial Narrow" w:cs="Segoe UI"/>
          <w:color w:val="002060"/>
          <w:sz w:val="24"/>
          <w:szCs w:val="24"/>
        </w:rPr>
        <w:t xml:space="preserve"> programmas īstenošanā ir iesaistīti docētāji ar bagātu un kvalitatīvu profesionālo pieredzi attiecīgajās jomās, pieredzi darbā ar skolotājiem ne tikai Latvijā,  bet arī citās Eiropas valstīs, kas norāda uz prasmi strādāt daudzveidīgās mācību vidēs, izmantojot inovatīvas mācību metodes. </w:t>
      </w:r>
    </w:p>
    <w:p w:rsidR="006B5C27" w:rsidRPr="00281F39" w:rsidRDefault="006B5C27" w:rsidP="006B5C27">
      <w:pPr>
        <w:spacing w:after="100" w:afterAutospacing="1" w:line="240" w:lineRule="auto"/>
        <w:jc w:val="both"/>
        <w:rPr>
          <w:rFonts w:ascii="Arial Narrow" w:eastAsia="Times New Roman" w:hAnsi="Arial Narrow" w:cs="Segoe UI"/>
          <w:color w:val="002060"/>
          <w:sz w:val="24"/>
          <w:szCs w:val="24"/>
        </w:rPr>
      </w:pPr>
      <w:r w:rsidRPr="00281F39">
        <w:rPr>
          <w:rFonts w:ascii="Arial Narrow" w:eastAsia="Times New Roman" w:hAnsi="Arial Narrow" w:cs="Segoe UI"/>
          <w:b/>
          <w:bCs/>
          <w:color w:val="002060"/>
          <w:sz w:val="24"/>
          <w:szCs w:val="24"/>
        </w:rPr>
        <w:t>Programmas saturs</w:t>
      </w:r>
      <w:r w:rsidRPr="00281F39">
        <w:rPr>
          <w:rFonts w:ascii="Arial Narrow" w:eastAsia="Times New Roman" w:hAnsi="Arial Narrow" w:cs="Segoe UI"/>
          <w:color w:val="002060"/>
          <w:sz w:val="24"/>
          <w:szCs w:val="24"/>
        </w:rPr>
        <w:t>: programmas saturs ir strukturēts elastīgi un tas tiks pielāgots mērķauditorijas interesēm. Kursu programma ļauj STEM jomas speciālistiem iegūt vispusīgu priekšstatu par  programmas kopējo saturu un reizē arī iedziļināties, analizējot aktuālus  un specifiskus pedagoģiskā satura jautājumus kompetenču pieejas kontekstā. </w:t>
      </w:r>
    </w:p>
    <w:p w:rsidR="006B5C27" w:rsidRPr="006B5C27" w:rsidRDefault="006B5C27" w:rsidP="006B5C27">
      <w:pPr>
        <w:rPr>
          <w:rFonts w:ascii="Arial Narrow" w:eastAsia="Calibri" w:hAnsi="Arial Narrow" w:cs="Calibri"/>
          <w:b/>
          <w:bCs/>
          <w:color w:val="002060"/>
          <w:sz w:val="20"/>
          <w:szCs w:val="20"/>
        </w:rPr>
      </w:pPr>
      <w:r w:rsidRPr="006B5C27">
        <w:rPr>
          <w:rFonts w:ascii="Arial Narrow" w:eastAsia="Calibri" w:hAnsi="Arial Narrow" w:cs="Calibri"/>
          <w:b/>
          <w:bCs/>
          <w:color w:val="002060"/>
          <w:sz w:val="20"/>
          <w:szCs w:val="20"/>
        </w:rPr>
        <w:t>APMĀCĪBU PROGRAMMA</w:t>
      </w:r>
    </w:p>
    <w:tbl>
      <w:tblPr>
        <w:tblStyle w:val="TableGrid"/>
        <w:tblW w:w="9209" w:type="dxa"/>
        <w:tblLook w:val="04A0" w:firstRow="1" w:lastRow="0" w:firstColumn="1" w:lastColumn="0" w:noHBand="0" w:noVBand="1"/>
      </w:tblPr>
      <w:tblGrid>
        <w:gridCol w:w="785"/>
        <w:gridCol w:w="8424"/>
      </w:tblGrid>
      <w:tr w:rsidR="006B5C27" w:rsidRPr="006B5C27" w:rsidTr="00BD5A5A">
        <w:tc>
          <w:tcPr>
            <w:tcW w:w="785" w:type="dxa"/>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1.</w:t>
            </w:r>
          </w:p>
        </w:tc>
        <w:tc>
          <w:tcPr>
            <w:tcW w:w="8424" w:type="dxa"/>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Kompetenču pieejas izaicinājumi STEM jomas skolotājiem.</w:t>
            </w:r>
          </w:p>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Neformālās mācīšanās metodes STEM jomas prasmju attīstīšanai.</w:t>
            </w:r>
          </w:p>
        </w:tc>
      </w:tr>
      <w:tr w:rsidR="006B5C27" w:rsidRPr="006B5C27" w:rsidTr="00692ACA">
        <w:trPr>
          <w:trHeight w:val="153"/>
        </w:trPr>
        <w:tc>
          <w:tcPr>
            <w:tcW w:w="785" w:type="dxa"/>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 xml:space="preserve">2. </w:t>
            </w:r>
          </w:p>
        </w:tc>
        <w:tc>
          <w:tcPr>
            <w:tcW w:w="8424" w:type="dxa"/>
          </w:tcPr>
          <w:p w:rsidR="006B5C27" w:rsidRPr="006B5C27" w:rsidRDefault="006B5C27" w:rsidP="00BD5A5A">
            <w:pPr>
              <w:rPr>
                <w:rFonts w:ascii="Arial Narrow" w:eastAsia="Calibri" w:hAnsi="Arial Narrow" w:cs="Calibri"/>
                <w:color w:val="002060"/>
                <w:sz w:val="20"/>
                <w:szCs w:val="20"/>
              </w:rPr>
            </w:pPr>
            <w:proofErr w:type="spellStart"/>
            <w:r w:rsidRPr="006B5C27">
              <w:rPr>
                <w:rFonts w:ascii="Arial Narrow" w:eastAsia="Calibri" w:hAnsi="Arial Narrow" w:cs="Calibri"/>
                <w:color w:val="002060"/>
                <w:sz w:val="20"/>
                <w:szCs w:val="20"/>
              </w:rPr>
              <w:t>Stromantas</w:t>
            </w:r>
            <w:proofErr w:type="spellEnd"/>
            <w:r w:rsidRPr="006B5C27">
              <w:rPr>
                <w:rFonts w:ascii="Arial Narrow" w:eastAsia="Calibri" w:hAnsi="Arial Narrow" w:cs="Calibri"/>
                <w:color w:val="002060"/>
                <w:sz w:val="20"/>
                <w:szCs w:val="20"/>
              </w:rPr>
              <w:t xml:space="preserve"> stāsts: no holistiskā dzīvības procesu norises konteksta līdz ilgtspējīgai palodzei. </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3.</w:t>
            </w:r>
          </w:p>
        </w:tc>
        <w:tc>
          <w:tcPr>
            <w:tcW w:w="8424"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Biznesa vide.</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4..</w:t>
            </w:r>
          </w:p>
        </w:tc>
        <w:tc>
          <w:tcPr>
            <w:tcW w:w="8424" w:type="dxa"/>
            <w:vAlign w:val="center"/>
          </w:tcPr>
          <w:p w:rsidR="006B5C27" w:rsidRPr="006B5C27" w:rsidRDefault="006B5C27" w:rsidP="00BD5A5A">
            <w:pPr>
              <w:rPr>
                <w:rFonts w:ascii="Arial Narrow" w:eastAsia="Calibri" w:hAnsi="Arial Narrow" w:cs="Calibri"/>
                <w:color w:val="002060"/>
                <w:sz w:val="20"/>
                <w:szCs w:val="20"/>
              </w:rPr>
            </w:pPr>
            <w:proofErr w:type="spellStart"/>
            <w:r w:rsidRPr="006B5C27">
              <w:rPr>
                <w:rFonts w:ascii="Arial Narrow" w:eastAsia="Calibri" w:hAnsi="Arial Narrow" w:cs="Calibri"/>
                <w:color w:val="002060"/>
                <w:sz w:val="20"/>
                <w:szCs w:val="20"/>
              </w:rPr>
              <w:t>Nanotehnoloģijas</w:t>
            </w:r>
            <w:proofErr w:type="spellEnd"/>
            <w:r w:rsidRPr="006B5C27">
              <w:rPr>
                <w:rFonts w:ascii="Arial Narrow" w:eastAsia="Calibri" w:hAnsi="Arial Narrow" w:cs="Calibri"/>
                <w:color w:val="002060"/>
                <w:sz w:val="20"/>
                <w:szCs w:val="20"/>
              </w:rPr>
              <w:t xml:space="preserve"> mūsu ikdienā.</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5.</w:t>
            </w:r>
          </w:p>
        </w:tc>
        <w:tc>
          <w:tcPr>
            <w:tcW w:w="8424"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Pētnieciskās prasmes pilnveidošana ķīmijas mācīšanās procesā.</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6.</w:t>
            </w:r>
          </w:p>
        </w:tc>
        <w:tc>
          <w:tcPr>
            <w:tcW w:w="8424"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 xml:space="preserve">STEM lietišķās jeb pielietojamās nozares – Zemes </w:t>
            </w:r>
            <w:proofErr w:type="spellStart"/>
            <w:r w:rsidRPr="006B5C27">
              <w:rPr>
                <w:rFonts w:ascii="Arial Narrow" w:eastAsia="Calibri" w:hAnsi="Arial Narrow" w:cs="Calibri"/>
                <w:color w:val="002060"/>
                <w:sz w:val="20"/>
                <w:szCs w:val="20"/>
              </w:rPr>
              <w:t>tālizpēte</w:t>
            </w:r>
            <w:proofErr w:type="spellEnd"/>
            <w:r w:rsidRPr="006B5C27">
              <w:rPr>
                <w:rFonts w:ascii="Arial Narrow" w:eastAsia="Calibri" w:hAnsi="Arial Narrow" w:cs="Calibri"/>
                <w:color w:val="002060"/>
                <w:sz w:val="20"/>
                <w:szCs w:val="20"/>
              </w:rPr>
              <w:t xml:space="preserve"> un ĢIS dabaszinātņu izglītībā. </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7.</w:t>
            </w:r>
          </w:p>
        </w:tc>
        <w:tc>
          <w:tcPr>
            <w:tcW w:w="8424"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Jaunākās komunikācijas un informācijas tehnoloģijas STEM jomas skolotājiem.</w:t>
            </w:r>
          </w:p>
        </w:tc>
      </w:tr>
      <w:tr w:rsidR="006B5C27" w:rsidRPr="006B5C27" w:rsidTr="00BD5A5A">
        <w:tc>
          <w:tcPr>
            <w:tcW w:w="785"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8.</w:t>
            </w:r>
          </w:p>
        </w:tc>
        <w:tc>
          <w:tcPr>
            <w:tcW w:w="8424" w:type="dxa"/>
            <w:vAlign w:val="center"/>
          </w:tcPr>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Prasmes izaugsmei un nākotnei: metodes un pieejas STEM skolotājiem.</w:t>
            </w:r>
          </w:p>
          <w:p w:rsidR="006B5C27" w:rsidRPr="006B5C27" w:rsidRDefault="006B5C27" w:rsidP="00BD5A5A">
            <w:pPr>
              <w:rPr>
                <w:rFonts w:ascii="Arial Narrow" w:eastAsia="Calibri" w:hAnsi="Arial Narrow" w:cs="Calibri"/>
                <w:color w:val="002060"/>
                <w:sz w:val="20"/>
                <w:szCs w:val="20"/>
              </w:rPr>
            </w:pPr>
            <w:r w:rsidRPr="006B5C27">
              <w:rPr>
                <w:rFonts w:ascii="Arial Narrow" w:eastAsia="Calibri" w:hAnsi="Arial Narrow" w:cs="Calibri"/>
                <w:color w:val="002060"/>
                <w:sz w:val="20"/>
                <w:szCs w:val="20"/>
              </w:rPr>
              <w:t xml:space="preserve">Prasmes nākotnei un darba tirgus mainība. </w:t>
            </w:r>
          </w:p>
        </w:tc>
      </w:tr>
    </w:tbl>
    <w:p w:rsidR="00692ACA" w:rsidRDefault="00692ACA" w:rsidP="006B5C27">
      <w:pPr>
        <w:spacing w:after="100" w:afterAutospacing="1" w:line="240" w:lineRule="auto"/>
        <w:jc w:val="both"/>
        <w:rPr>
          <w:rFonts w:ascii="Arial Narrow" w:eastAsia="Times New Roman" w:hAnsi="Arial Narrow" w:cs="Segoe UI"/>
          <w:color w:val="002060"/>
          <w:sz w:val="24"/>
          <w:szCs w:val="24"/>
        </w:rPr>
      </w:pPr>
    </w:p>
    <w:p w:rsidR="006B5C27" w:rsidRPr="006B5C27" w:rsidRDefault="006B5C27" w:rsidP="006B5C27">
      <w:pPr>
        <w:spacing w:after="100" w:afterAutospacing="1" w:line="240" w:lineRule="auto"/>
        <w:jc w:val="both"/>
        <w:rPr>
          <w:rFonts w:ascii="Arial Narrow" w:eastAsia="Times New Roman" w:hAnsi="Arial Narrow" w:cs="Segoe UI"/>
          <w:color w:val="002060"/>
          <w:sz w:val="20"/>
          <w:szCs w:val="20"/>
        </w:rPr>
      </w:pPr>
      <w:bookmarkStart w:id="0" w:name="_GoBack"/>
      <w:bookmarkEnd w:id="0"/>
      <w:r w:rsidRPr="00281F39">
        <w:rPr>
          <w:rFonts w:ascii="Arial Narrow" w:eastAsia="Times New Roman" w:hAnsi="Arial Narrow" w:cs="Segoe UI"/>
          <w:color w:val="002060"/>
          <w:sz w:val="20"/>
          <w:szCs w:val="20"/>
        </w:rPr>
        <w:t>Apmācības notiek Eiropas Ekonomikas zonas finanšu instrumenta un Norvēģijas finanšu instrumenta 2014. – 2021. gada perioda programmas “Pētniecība un izglītība” aktivitātes “Inovācijas centri” projekta “Inovāciju centra izveidošana Daugavpilī”, proj.nr. NFI/IC/VIAA/2020/4, Līguma Nr. Nr.9.-20.2.2.1/4, ietvaros. </w:t>
      </w:r>
    </w:p>
    <w:sectPr w:rsidR="006B5C27" w:rsidRPr="006B5C27" w:rsidSect="006B5C27">
      <w:pgSz w:w="12240" w:h="15840"/>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27"/>
    <w:rsid w:val="00650E3D"/>
    <w:rsid w:val="00692ACA"/>
    <w:rsid w:val="006B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991A9-EA99-45BB-8759-52A5C15F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C27"/>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C2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2</cp:revision>
  <dcterms:created xsi:type="dcterms:W3CDTF">2022-03-09T09:54:00Z</dcterms:created>
  <dcterms:modified xsi:type="dcterms:W3CDTF">2022-03-09T10:01:00Z</dcterms:modified>
</cp:coreProperties>
</file>