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AEB" w:rsidRPr="003B362D" w:rsidRDefault="00305AEB" w:rsidP="00305AEB">
      <w:pPr>
        <w:pStyle w:val="BodyText2"/>
        <w:rPr>
          <w:b/>
          <w:bCs/>
          <w:sz w:val="24"/>
        </w:rPr>
      </w:pPr>
    </w:p>
    <w:p w:rsidR="003B362D" w:rsidRDefault="00305AEB" w:rsidP="00305AEB">
      <w:pPr>
        <w:pStyle w:val="BodyText2"/>
        <w:rPr>
          <w:b/>
          <w:bCs/>
          <w:sz w:val="24"/>
        </w:rPr>
      </w:pPr>
      <w:r w:rsidRPr="003B362D">
        <w:rPr>
          <w:b/>
          <w:bCs/>
          <w:sz w:val="24"/>
        </w:rPr>
        <w:t xml:space="preserve">Daugavpils pilsētas domes 2016.gada </w:t>
      </w:r>
      <w:r w:rsidR="003B362D">
        <w:rPr>
          <w:b/>
          <w:bCs/>
          <w:sz w:val="24"/>
        </w:rPr>
        <w:t>9</w:t>
      </w:r>
      <w:r w:rsidRPr="003B362D">
        <w:rPr>
          <w:b/>
          <w:bCs/>
          <w:sz w:val="24"/>
        </w:rPr>
        <w:t>.</w:t>
      </w:r>
      <w:r w:rsidR="003B362D">
        <w:rPr>
          <w:b/>
          <w:bCs/>
          <w:sz w:val="24"/>
        </w:rPr>
        <w:t>februāra</w:t>
      </w:r>
      <w:r w:rsidRPr="003B362D">
        <w:rPr>
          <w:b/>
          <w:bCs/>
          <w:sz w:val="24"/>
        </w:rPr>
        <w:t xml:space="preserve"> saistošo noteikumu Nr.</w:t>
      </w:r>
      <w:r w:rsidR="00601E65">
        <w:rPr>
          <w:b/>
          <w:bCs/>
          <w:sz w:val="24"/>
        </w:rPr>
        <w:t>5</w:t>
      </w:r>
      <w:r w:rsidRPr="003B362D">
        <w:rPr>
          <w:b/>
          <w:bCs/>
          <w:sz w:val="24"/>
        </w:rPr>
        <w:t xml:space="preserve"> </w:t>
      </w:r>
    </w:p>
    <w:p w:rsidR="00305AEB" w:rsidRPr="003B362D" w:rsidRDefault="00305AEB" w:rsidP="00305AEB">
      <w:pPr>
        <w:pStyle w:val="BodyText2"/>
        <w:rPr>
          <w:b/>
          <w:bCs/>
          <w:sz w:val="24"/>
        </w:rPr>
      </w:pPr>
      <w:r w:rsidRPr="003B362D">
        <w:rPr>
          <w:b/>
          <w:bCs/>
          <w:sz w:val="24"/>
        </w:rPr>
        <w:t>“</w:t>
      </w:r>
      <w:r w:rsidRPr="003B362D">
        <w:rPr>
          <w:b/>
          <w:sz w:val="24"/>
        </w:rPr>
        <w:t>Grozījumi Daugavpils pilsētas domes 2010.gada 11.novembra saistošajos noteikumos Nr.39 “Līdzfinansējums energoefektivitātes pasākumu veikšanai daudzdzīvokļu dzīvojamās mājās””</w:t>
      </w:r>
      <w:r w:rsidRPr="003B362D">
        <w:rPr>
          <w:b/>
          <w:bCs/>
          <w:sz w:val="24"/>
        </w:rPr>
        <w:t xml:space="preserve"> paskaidrojuma raksts</w:t>
      </w:r>
    </w:p>
    <w:p w:rsidR="00305AEB" w:rsidRPr="003B362D" w:rsidRDefault="00305AEB" w:rsidP="00305AEB">
      <w:pPr>
        <w:ind w:firstLine="180"/>
        <w:jc w:val="center"/>
        <w:rPr>
          <w:b/>
          <w:bCs/>
          <w:lang w:val="lv-LV"/>
        </w:rPr>
      </w:pP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35"/>
        <w:gridCol w:w="6237"/>
      </w:tblGrid>
      <w:tr w:rsidR="00305AEB" w:rsidRPr="003B362D" w:rsidTr="003B362D">
        <w:trPr>
          <w:cantSplit/>
        </w:trPr>
        <w:tc>
          <w:tcPr>
            <w:tcW w:w="2835" w:type="dxa"/>
            <w:tcBorders>
              <w:top w:val="single" w:sz="4" w:space="0" w:color="auto"/>
              <w:left w:val="single" w:sz="4" w:space="0" w:color="auto"/>
              <w:bottom w:val="single" w:sz="4" w:space="0" w:color="auto"/>
              <w:right w:val="single" w:sz="4" w:space="0" w:color="auto"/>
            </w:tcBorders>
          </w:tcPr>
          <w:p w:rsidR="00305AEB" w:rsidRPr="003B362D" w:rsidRDefault="00305AEB" w:rsidP="00064BAE">
            <w:pPr>
              <w:pStyle w:val="naiskr"/>
              <w:spacing w:before="120" w:after="120"/>
              <w:jc w:val="center"/>
              <w:rPr>
                <w:b/>
              </w:rPr>
            </w:pPr>
            <w:r w:rsidRPr="003B362D">
              <w:rPr>
                <w:b/>
              </w:rPr>
              <w:t>Paskaidrojuma raksta sadaļas</w:t>
            </w:r>
          </w:p>
        </w:tc>
        <w:tc>
          <w:tcPr>
            <w:tcW w:w="6237" w:type="dxa"/>
            <w:tcBorders>
              <w:top w:val="single" w:sz="4" w:space="0" w:color="auto"/>
              <w:left w:val="single" w:sz="4" w:space="0" w:color="auto"/>
              <w:bottom w:val="single" w:sz="4" w:space="0" w:color="auto"/>
              <w:right w:val="single" w:sz="4" w:space="0" w:color="auto"/>
            </w:tcBorders>
            <w:vAlign w:val="center"/>
          </w:tcPr>
          <w:p w:rsidR="00305AEB" w:rsidRPr="003B362D" w:rsidRDefault="00305AEB" w:rsidP="00064BAE">
            <w:pPr>
              <w:pStyle w:val="naisnod"/>
              <w:spacing w:before="0" w:after="0"/>
              <w:rPr>
                <w:lang w:eastAsia="en-US"/>
              </w:rPr>
            </w:pPr>
            <w:r w:rsidRPr="003B362D">
              <w:rPr>
                <w:lang w:eastAsia="en-US"/>
              </w:rPr>
              <w:t>Norādāmā informācija</w:t>
            </w:r>
          </w:p>
        </w:tc>
      </w:tr>
      <w:tr w:rsidR="00305AEB" w:rsidRPr="00116357" w:rsidTr="003B362D">
        <w:trPr>
          <w:cantSplit/>
        </w:trPr>
        <w:tc>
          <w:tcPr>
            <w:tcW w:w="2835" w:type="dxa"/>
            <w:tcBorders>
              <w:top w:val="single" w:sz="4" w:space="0" w:color="auto"/>
              <w:left w:val="single" w:sz="4" w:space="0" w:color="auto"/>
              <w:bottom w:val="single" w:sz="4" w:space="0" w:color="auto"/>
              <w:right w:val="single" w:sz="4" w:space="0" w:color="auto"/>
            </w:tcBorders>
          </w:tcPr>
          <w:p w:rsidR="00305AEB" w:rsidRPr="003B362D" w:rsidRDefault="00305AEB" w:rsidP="00064BAE">
            <w:pPr>
              <w:pStyle w:val="naiskr"/>
              <w:spacing w:before="120" w:after="120"/>
              <w:rPr>
                <w:bCs/>
              </w:rPr>
            </w:pPr>
            <w:r w:rsidRPr="003B362D">
              <w:rPr>
                <w:bCs/>
              </w:rPr>
              <w:t>1. Projekta nepieciešamības pamatojums</w:t>
            </w:r>
          </w:p>
        </w:tc>
        <w:tc>
          <w:tcPr>
            <w:tcW w:w="6237" w:type="dxa"/>
            <w:tcBorders>
              <w:top w:val="single" w:sz="4" w:space="0" w:color="auto"/>
              <w:left w:val="single" w:sz="4" w:space="0" w:color="auto"/>
              <w:bottom w:val="single" w:sz="4" w:space="0" w:color="auto"/>
              <w:right w:val="single" w:sz="4" w:space="0" w:color="auto"/>
            </w:tcBorders>
            <w:vAlign w:val="center"/>
          </w:tcPr>
          <w:p w:rsidR="00305AEB" w:rsidRPr="003B362D" w:rsidRDefault="00305AEB" w:rsidP="00064BAE">
            <w:pPr>
              <w:pStyle w:val="tv2132"/>
              <w:spacing w:line="240" w:lineRule="auto"/>
              <w:jc w:val="both"/>
              <w:rPr>
                <w:color w:val="auto"/>
                <w:sz w:val="24"/>
                <w:szCs w:val="24"/>
                <w:lang w:val="lv-LV"/>
              </w:rPr>
            </w:pPr>
            <w:r w:rsidRPr="003B362D">
              <w:rPr>
                <w:color w:val="auto"/>
                <w:sz w:val="24"/>
                <w:szCs w:val="24"/>
                <w:lang w:val="lv-LV"/>
              </w:rPr>
              <w:t>Nodrošinot sniegtā valsts atbalsta komercdarbībai likumību un saderīgumu ar Eiropas Savienības iekšējo tirgu, saistošajos noteikumos ir nepieciešams iekļaut valst</w:t>
            </w:r>
            <w:r w:rsidR="00964CE5" w:rsidRPr="003B362D">
              <w:rPr>
                <w:color w:val="auto"/>
                <w:sz w:val="24"/>
                <w:szCs w:val="24"/>
                <w:lang w:val="lv-LV"/>
              </w:rPr>
              <w:t>s atbalsta nosacījumus attiecībā</w:t>
            </w:r>
            <w:r w:rsidRPr="003B362D">
              <w:rPr>
                <w:color w:val="auto"/>
                <w:sz w:val="24"/>
                <w:szCs w:val="24"/>
                <w:lang w:val="lv-LV"/>
              </w:rPr>
              <w:t xml:space="preserve"> uz dzī</w:t>
            </w:r>
            <w:r w:rsidR="00964CE5" w:rsidRPr="003B362D">
              <w:rPr>
                <w:color w:val="auto"/>
                <w:sz w:val="24"/>
                <w:szCs w:val="24"/>
                <w:lang w:val="lv-LV"/>
              </w:rPr>
              <w:t>vokļu īpašniekiem – saimnieciskā</w:t>
            </w:r>
            <w:r w:rsidRPr="003B362D">
              <w:rPr>
                <w:color w:val="auto"/>
                <w:sz w:val="24"/>
                <w:szCs w:val="24"/>
                <w:lang w:val="lv-LV"/>
              </w:rPr>
              <w:t>s darbības veicējiem, kas pretendē uz a</w:t>
            </w:r>
            <w:r w:rsidR="00964CE5" w:rsidRPr="003B362D">
              <w:rPr>
                <w:color w:val="auto"/>
                <w:sz w:val="24"/>
                <w:szCs w:val="24"/>
                <w:lang w:val="lv-LV"/>
              </w:rPr>
              <w:t>tbalstu, kas ir kvalificējams kā</w:t>
            </w:r>
            <w:r w:rsidRPr="003B362D">
              <w:rPr>
                <w:color w:val="auto"/>
                <w:sz w:val="24"/>
                <w:szCs w:val="24"/>
                <w:lang w:val="lv-LV"/>
              </w:rPr>
              <w:t xml:space="preserve"> komercdarbības atbalsts, t.i., </w:t>
            </w:r>
            <w:r w:rsidRPr="003B362D">
              <w:rPr>
                <w:i/>
                <w:color w:val="auto"/>
                <w:sz w:val="24"/>
                <w:szCs w:val="24"/>
                <w:lang w:val="lv-LV"/>
              </w:rPr>
              <w:t>de minimis</w:t>
            </w:r>
            <w:r w:rsidRPr="003B362D">
              <w:rPr>
                <w:color w:val="auto"/>
                <w:sz w:val="24"/>
                <w:szCs w:val="24"/>
                <w:lang w:val="lv-LV"/>
              </w:rPr>
              <w:t xml:space="preserve"> atbalsta nosacījumus atbilstoši</w:t>
            </w:r>
            <w:r w:rsidRPr="003B362D">
              <w:rPr>
                <w:sz w:val="24"/>
                <w:szCs w:val="24"/>
                <w:lang w:val="lv-LV"/>
              </w:rPr>
              <w:t xml:space="preserve"> </w:t>
            </w:r>
            <w:r w:rsidRPr="003B362D">
              <w:rPr>
                <w:color w:val="auto"/>
                <w:sz w:val="24"/>
                <w:szCs w:val="24"/>
                <w:lang w:val="lv-LV"/>
              </w:rPr>
              <w:t>Eiropas Komisijas 2013.gada 18.decembra Regulai (ES) Nr.</w:t>
            </w:r>
            <w:hyperlink r:id="rId6" w:tgtFrame="_blank" w:history="1">
              <w:r w:rsidRPr="003B362D">
                <w:rPr>
                  <w:color w:val="auto"/>
                  <w:sz w:val="24"/>
                  <w:szCs w:val="24"/>
                  <w:lang w:val="lv-LV"/>
                </w:rPr>
                <w:t>1407/2013</w:t>
              </w:r>
            </w:hyperlink>
            <w:r w:rsidRPr="003B362D">
              <w:rPr>
                <w:color w:val="auto"/>
                <w:sz w:val="24"/>
                <w:szCs w:val="24"/>
                <w:lang w:val="lv-LV"/>
              </w:rPr>
              <w:t xml:space="preserve"> par Līguma par Eiropas Savienības darbību 107. un 108.panta piemērošanu </w:t>
            </w:r>
            <w:r w:rsidRPr="003B362D">
              <w:rPr>
                <w:i/>
                <w:iCs/>
                <w:color w:val="auto"/>
                <w:sz w:val="24"/>
                <w:szCs w:val="24"/>
                <w:lang w:val="lv-LV"/>
              </w:rPr>
              <w:t>de minimis.</w:t>
            </w:r>
            <w:r w:rsidRPr="003B362D">
              <w:rPr>
                <w:color w:val="auto"/>
                <w:sz w:val="24"/>
                <w:szCs w:val="24"/>
                <w:lang w:val="lv-LV"/>
              </w:rPr>
              <w:t xml:space="preserve"> </w:t>
            </w:r>
            <w:r w:rsidRPr="003B362D">
              <w:rPr>
                <w:bCs/>
                <w:color w:val="auto"/>
                <w:sz w:val="24"/>
                <w:szCs w:val="24"/>
                <w:lang w:val="lv-LV"/>
              </w:rPr>
              <w:t>Atbilstoši Komercdarbības atbalsta likuma 10.panta pirmajai daļai</w:t>
            </w:r>
            <w:r w:rsidRPr="003B362D">
              <w:rPr>
                <w:b/>
                <w:bCs/>
                <w:color w:val="auto"/>
                <w:sz w:val="24"/>
                <w:szCs w:val="24"/>
                <w:lang w:val="lv-LV"/>
              </w:rPr>
              <w:t xml:space="preserve"> </w:t>
            </w:r>
            <w:r w:rsidRPr="003B362D">
              <w:rPr>
                <w:color w:val="auto"/>
                <w:sz w:val="24"/>
                <w:szCs w:val="24"/>
                <w:lang w:val="lv-LV"/>
              </w:rPr>
              <w:t xml:space="preserve">ikvienu atbalsta programmu atbalsta sniedzējs iesniedz sākotnējai izvērtēšanai Finanšu ministrijā. Ievērojot Finanšu ministrijas 09.09.2016. vēstulē Nr.18-04/4913 „Par valsts atbalsta regulējuma ievērošanu, izstrādājot papildu atbalsta pasākumus energoefektivitātes paaugstināšanas pasākumu veikšanai daudzdzīvokļu dzīvojamās mājās” un </w:t>
            </w:r>
            <w:r w:rsidR="000537C3" w:rsidRPr="003B362D">
              <w:rPr>
                <w:color w:val="auto"/>
                <w:sz w:val="24"/>
                <w:szCs w:val="24"/>
                <w:lang w:val="lv-LV"/>
              </w:rPr>
              <w:t>30.01.2017</w:t>
            </w:r>
            <w:r w:rsidRPr="003B362D">
              <w:rPr>
                <w:color w:val="auto"/>
                <w:sz w:val="24"/>
                <w:szCs w:val="24"/>
                <w:lang w:val="lv-LV"/>
              </w:rPr>
              <w:t>. vēstulē Nr.18-0/</w:t>
            </w:r>
            <w:r w:rsidR="000537C3" w:rsidRPr="003B362D">
              <w:rPr>
                <w:color w:val="auto"/>
                <w:sz w:val="24"/>
                <w:szCs w:val="24"/>
                <w:lang w:val="lv-LV"/>
              </w:rPr>
              <w:t>789</w:t>
            </w:r>
            <w:r w:rsidRPr="003B362D">
              <w:rPr>
                <w:color w:val="auto"/>
                <w:sz w:val="24"/>
                <w:szCs w:val="24"/>
                <w:lang w:val="lv-LV"/>
              </w:rPr>
              <w:t xml:space="preserve"> „Par saistošo noteikumu izvērtēšanu” norādīto, nepieciešams sagatavot saistošo noteikumu grozījumus.</w:t>
            </w:r>
          </w:p>
          <w:p w:rsidR="00305AEB" w:rsidRPr="003B362D" w:rsidRDefault="00305AEB" w:rsidP="00064BAE">
            <w:pPr>
              <w:pStyle w:val="tv2131"/>
              <w:spacing w:line="240" w:lineRule="atLeast"/>
              <w:ind w:firstLine="0"/>
              <w:jc w:val="both"/>
              <w:rPr>
                <w:color w:val="auto"/>
                <w:sz w:val="24"/>
                <w:szCs w:val="24"/>
              </w:rPr>
            </w:pPr>
            <w:r w:rsidRPr="003B362D">
              <w:rPr>
                <w:color w:val="auto"/>
                <w:sz w:val="24"/>
                <w:szCs w:val="24"/>
              </w:rPr>
              <w:t xml:space="preserve">        Atbilstoši likuma "Par palīdzību dzīvokļa jautājumu risināšanā" 27.</w:t>
            </w:r>
            <w:r w:rsidRPr="003B362D">
              <w:rPr>
                <w:color w:val="auto"/>
                <w:sz w:val="24"/>
                <w:szCs w:val="24"/>
                <w:vertAlign w:val="superscript"/>
              </w:rPr>
              <w:t>2</w:t>
            </w:r>
            <w:r w:rsidRPr="003B362D">
              <w:rPr>
                <w:color w:val="auto"/>
                <w:sz w:val="24"/>
                <w:szCs w:val="24"/>
              </w:rPr>
              <w:t xml:space="preserve"> panta otrās daļas 4.punktam, pašvaldība var sniegt palīdzību dzīvojamās mājas īpašniekam (īpašniekiem) vai dzīvokļu īpašniekiem, piešķirot finansējumu energoefektivitātes pasākumu veikšanai dzīvojamā mājā. Minētā panta piektā daļa satur deleģējumu pašvaldībai izdot saistošos noteikumus par kārtību, kādā tiek sniegta attiecīgā palīdzība, un palīdzības apmēru. </w:t>
            </w:r>
          </w:p>
        </w:tc>
      </w:tr>
      <w:tr w:rsidR="00305AEB" w:rsidRPr="00116357" w:rsidTr="003B362D">
        <w:trPr>
          <w:cantSplit/>
        </w:trPr>
        <w:tc>
          <w:tcPr>
            <w:tcW w:w="2835" w:type="dxa"/>
            <w:tcBorders>
              <w:top w:val="single" w:sz="4" w:space="0" w:color="auto"/>
              <w:left w:val="single" w:sz="4" w:space="0" w:color="auto"/>
              <w:bottom w:val="single" w:sz="4" w:space="0" w:color="auto"/>
              <w:right w:val="single" w:sz="4" w:space="0" w:color="auto"/>
            </w:tcBorders>
          </w:tcPr>
          <w:p w:rsidR="00305AEB" w:rsidRPr="003B362D" w:rsidRDefault="00305AEB" w:rsidP="00064BAE">
            <w:pPr>
              <w:pStyle w:val="naiskr"/>
              <w:spacing w:before="120" w:after="120"/>
              <w:rPr>
                <w:bCs/>
              </w:rPr>
            </w:pPr>
            <w:r w:rsidRPr="003B362D">
              <w:rPr>
                <w:bCs/>
              </w:rPr>
              <w:t>2. Īss projekta satura izklāsts</w:t>
            </w:r>
          </w:p>
        </w:tc>
        <w:tc>
          <w:tcPr>
            <w:tcW w:w="6237" w:type="dxa"/>
            <w:tcBorders>
              <w:top w:val="single" w:sz="4" w:space="0" w:color="auto"/>
              <w:left w:val="single" w:sz="4" w:space="0" w:color="auto"/>
              <w:bottom w:val="single" w:sz="4" w:space="0" w:color="auto"/>
              <w:right w:val="single" w:sz="4" w:space="0" w:color="auto"/>
            </w:tcBorders>
            <w:vAlign w:val="center"/>
          </w:tcPr>
          <w:p w:rsidR="00305AEB" w:rsidRPr="003B362D" w:rsidRDefault="00305AEB" w:rsidP="00064BAE">
            <w:pPr>
              <w:pStyle w:val="naisnod"/>
              <w:spacing w:before="0" w:after="0"/>
              <w:jc w:val="both"/>
              <w:rPr>
                <w:b w:val="0"/>
              </w:rPr>
            </w:pPr>
            <w:r w:rsidRPr="003B362D">
              <w:rPr>
                <w:b w:val="0"/>
              </w:rPr>
              <w:t xml:space="preserve">        Saistošie noteikumi papildināti ar noteikumiem par valsts atbalsta regulējuma ievērošanu, piešķirot pašvaldības līdzfinansējumu energoefektivitātes paaugstināšanas pasākumu veikšanai daudzdzīvokļu dzīvojamās mājās. Ar grozījumiem paredzēti jauni pašvaldības atbalsta veidi, proti - 30% apmērā no faktiskajām izmaksām dzīvojamās mājas  ārdurvju bloku un logu atjaunošanas un nomaiņas darbiem koplietošanas telpās; 50% apmērā no faktiskajām izmaksām karstā ūdens un siltumapgādes sistēmas cauruļu siltināšanas darbiem; 25% apmērā no faktiskajām izmaksām jumta seguma atjaunošanas darbiem; 30% apmērā</w:t>
            </w:r>
            <w:r w:rsidR="00964CE5" w:rsidRPr="003B362D">
              <w:rPr>
                <w:b w:val="0"/>
              </w:rPr>
              <w:t>,</w:t>
            </w:r>
            <w:r w:rsidRPr="003B362D">
              <w:rPr>
                <w:b w:val="0"/>
              </w:rPr>
              <w:t xml:space="preserve"> ja vienlaicīgi ar jumta seguma atjaunošanas darbiem tiek veikta arī dzīvojamās mājas bēniņu siltināšana. Līdzfinansējuma piešķiršanai šiem pasākumiem dzīvojamās mājas pārvaldīšanas tiesību nodošana dzīvokļu īpašnieku sabiedrībai vai pilnvarotai personai nav nepieciešama. </w:t>
            </w:r>
          </w:p>
        </w:tc>
      </w:tr>
      <w:tr w:rsidR="00305AEB" w:rsidRPr="00116357" w:rsidTr="003B362D">
        <w:trPr>
          <w:cantSplit/>
          <w:trHeight w:val="863"/>
        </w:trPr>
        <w:tc>
          <w:tcPr>
            <w:tcW w:w="2835" w:type="dxa"/>
            <w:tcBorders>
              <w:top w:val="single" w:sz="4" w:space="0" w:color="auto"/>
              <w:left w:val="single" w:sz="4" w:space="0" w:color="auto"/>
              <w:bottom w:val="single" w:sz="4" w:space="0" w:color="auto"/>
              <w:right w:val="single" w:sz="4" w:space="0" w:color="auto"/>
            </w:tcBorders>
          </w:tcPr>
          <w:p w:rsidR="00305AEB" w:rsidRPr="003B362D" w:rsidRDefault="00305AEB" w:rsidP="00064BAE">
            <w:pPr>
              <w:pStyle w:val="naisf"/>
              <w:spacing w:before="120" w:beforeAutospacing="0" w:after="120" w:afterAutospacing="0"/>
              <w:rPr>
                <w:rFonts w:eastAsia="Times New Roman"/>
                <w:bCs/>
                <w:lang w:val="lv-LV"/>
              </w:rPr>
            </w:pPr>
            <w:r w:rsidRPr="003B362D">
              <w:rPr>
                <w:rFonts w:eastAsia="Times New Roman"/>
                <w:bCs/>
                <w:lang w:val="lv-LV"/>
              </w:rPr>
              <w:lastRenderedPageBreak/>
              <w:t>3. Informācija par plānoto projekta ietekmi uz pašvaldības budžetu</w:t>
            </w:r>
          </w:p>
        </w:tc>
        <w:tc>
          <w:tcPr>
            <w:tcW w:w="6237" w:type="dxa"/>
            <w:tcBorders>
              <w:top w:val="single" w:sz="4" w:space="0" w:color="auto"/>
              <w:left w:val="single" w:sz="4" w:space="0" w:color="auto"/>
              <w:bottom w:val="single" w:sz="4" w:space="0" w:color="auto"/>
              <w:right w:val="single" w:sz="4" w:space="0" w:color="auto"/>
            </w:tcBorders>
            <w:vAlign w:val="center"/>
          </w:tcPr>
          <w:p w:rsidR="00305AEB" w:rsidRPr="003B362D" w:rsidRDefault="00305AEB" w:rsidP="00064BAE">
            <w:pPr>
              <w:pStyle w:val="naisnod"/>
              <w:spacing w:before="0" w:after="0"/>
              <w:jc w:val="both"/>
              <w:rPr>
                <w:b w:val="0"/>
                <w:bCs w:val="0"/>
                <w:lang w:eastAsia="en-US"/>
              </w:rPr>
            </w:pPr>
            <w:r w:rsidRPr="003B362D">
              <w:rPr>
                <w:b w:val="0"/>
                <w:bCs w:val="0"/>
                <w:lang w:eastAsia="en-US"/>
              </w:rPr>
              <w:t>Līdzfinansējums tiek piešķirts apstiprinātā pašvaldības budžeta ietvaros.</w:t>
            </w:r>
          </w:p>
        </w:tc>
      </w:tr>
      <w:tr w:rsidR="00305AEB" w:rsidRPr="003B362D" w:rsidTr="003B362D">
        <w:trPr>
          <w:cantSplit/>
          <w:trHeight w:val="1132"/>
        </w:trPr>
        <w:tc>
          <w:tcPr>
            <w:tcW w:w="2835" w:type="dxa"/>
            <w:tcBorders>
              <w:top w:val="single" w:sz="4" w:space="0" w:color="auto"/>
              <w:left w:val="single" w:sz="4" w:space="0" w:color="auto"/>
              <w:bottom w:val="single" w:sz="4" w:space="0" w:color="auto"/>
              <w:right w:val="single" w:sz="4" w:space="0" w:color="auto"/>
            </w:tcBorders>
          </w:tcPr>
          <w:p w:rsidR="00305AEB" w:rsidRPr="003B362D" w:rsidRDefault="00305AEB" w:rsidP="00064BAE">
            <w:pPr>
              <w:spacing w:before="120" w:after="120"/>
              <w:rPr>
                <w:bCs/>
                <w:lang w:val="lv-LV"/>
              </w:rPr>
            </w:pPr>
            <w:r w:rsidRPr="003B362D">
              <w:rPr>
                <w:bCs/>
                <w:lang w:val="lv-LV"/>
              </w:rPr>
              <w:t>4. Informācija par plānoto projekta ietekmi uz uzņēmējdarbības vidi pašvaldības teritorijā</w:t>
            </w:r>
          </w:p>
        </w:tc>
        <w:tc>
          <w:tcPr>
            <w:tcW w:w="6237" w:type="dxa"/>
            <w:tcBorders>
              <w:top w:val="single" w:sz="4" w:space="0" w:color="auto"/>
              <w:left w:val="single" w:sz="4" w:space="0" w:color="auto"/>
              <w:bottom w:val="single" w:sz="4" w:space="0" w:color="auto"/>
              <w:right w:val="single" w:sz="4" w:space="0" w:color="auto"/>
            </w:tcBorders>
            <w:vAlign w:val="center"/>
          </w:tcPr>
          <w:p w:rsidR="00305AEB" w:rsidRPr="003B362D" w:rsidRDefault="00305AEB" w:rsidP="00064BAE">
            <w:pPr>
              <w:pStyle w:val="naisnod"/>
              <w:spacing w:before="0" w:after="0"/>
              <w:jc w:val="both"/>
              <w:rPr>
                <w:b w:val="0"/>
                <w:bCs w:val="0"/>
                <w:lang w:eastAsia="en-US"/>
              </w:rPr>
            </w:pPr>
            <w:r w:rsidRPr="003B362D">
              <w:rPr>
                <w:b w:val="0"/>
                <w:bCs w:val="0"/>
                <w:iCs/>
              </w:rPr>
              <w:t>Nav attiecināms</w:t>
            </w:r>
          </w:p>
        </w:tc>
      </w:tr>
      <w:tr w:rsidR="00305AEB" w:rsidRPr="003B362D" w:rsidTr="003B362D">
        <w:trPr>
          <w:cantSplit/>
        </w:trPr>
        <w:tc>
          <w:tcPr>
            <w:tcW w:w="2835" w:type="dxa"/>
            <w:tcBorders>
              <w:top w:val="single" w:sz="4" w:space="0" w:color="auto"/>
              <w:left w:val="single" w:sz="4" w:space="0" w:color="auto"/>
              <w:bottom w:val="single" w:sz="4" w:space="0" w:color="auto"/>
              <w:right w:val="single" w:sz="4" w:space="0" w:color="auto"/>
            </w:tcBorders>
          </w:tcPr>
          <w:p w:rsidR="00305AEB" w:rsidRPr="003B362D" w:rsidRDefault="00305AEB" w:rsidP="00064BAE">
            <w:pPr>
              <w:spacing w:before="120" w:after="120"/>
              <w:rPr>
                <w:bCs/>
                <w:lang w:val="lv-LV"/>
              </w:rPr>
            </w:pPr>
            <w:r w:rsidRPr="003B362D">
              <w:rPr>
                <w:bCs/>
                <w:lang w:val="lv-LV"/>
              </w:rPr>
              <w:t>5. Informācija par administratīvajām procedūrām</w:t>
            </w:r>
          </w:p>
        </w:tc>
        <w:tc>
          <w:tcPr>
            <w:tcW w:w="6237" w:type="dxa"/>
            <w:tcBorders>
              <w:top w:val="single" w:sz="4" w:space="0" w:color="auto"/>
              <w:left w:val="single" w:sz="4" w:space="0" w:color="auto"/>
              <w:bottom w:val="single" w:sz="4" w:space="0" w:color="auto"/>
              <w:right w:val="single" w:sz="4" w:space="0" w:color="auto"/>
            </w:tcBorders>
            <w:vAlign w:val="center"/>
          </w:tcPr>
          <w:p w:rsidR="00305AEB" w:rsidRPr="003B362D" w:rsidRDefault="00305AEB" w:rsidP="00064BAE">
            <w:pPr>
              <w:pStyle w:val="naisnod"/>
              <w:spacing w:before="0" w:after="0"/>
              <w:jc w:val="both"/>
              <w:rPr>
                <w:b w:val="0"/>
                <w:bCs w:val="0"/>
                <w:lang w:eastAsia="en-US"/>
              </w:rPr>
            </w:pPr>
            <w:r w:rsidRPr="003B362D">
              <w:rPr>
                <w:b w:val="0"/>
                <w:bCs w:val="0"/>
                <w:iCs/>
              </w:rPr>
              <w:t xml:space="preserve">Administratīvās procedūras netiek mainītas. </w:t>
            </w:r>
            <w:r w:rsidRPr="003B362D">
              <w:rPr>
                <w:b w:val="0"/>
                <w:bCs w:val="0"/>
                <w:i/>
                <w:iCs/>
              </w:rPr>
              <w:t>De minimis</w:t>
            </w:r>
            <w:r w:rsidRPr="003B362D">
              <w:rPr>
                <w:b w:val="0"/>
                <w:bCs w:val="0"/>
                <w:iCs/>
              </w:rPr>
              <w:t xml:space="preserve"> atbalsta pretendentiem </w:t>
            </w:r>
            <w:r w:rsidRPr="003B362D">
              <w:rPr>
                <w:b w:val="0"/>
              </w:rPr>
              <w:t xml:space="preserve">papildus būs jāiesniedz normatīvajos aktos noteiktās formas un satura aizpildītu </w:t>
            </w:r>
            <w:r w:rsidRPr="003B362D">
              <w:rPr>
                <w:b w:val="0"/>
                <w:i/>
                <w:iCs/>
              </w:rPr>
              <w:t>de minimis</w:t>
            </w:r>
            <w:r w:rsidRPr="003B362D">
              <w:rPr>
                <w:b w:val="0"/>
              </w:rPr>
              <w:t xml:space="preserve"> atbalsta uzskaites veidlapu.</w:t>
            </w:r>
          </w:p>
        </w:tc>
      </w:tr>
      <w:tr w:rsidR="00305AEB" w:rsidRPr="00116357" w:rsidTr="003B362D">
        <w:trPr>
          <w:cantSplit/>
        </w:trPr>
        <w:tc>
          <w:tcPr>
            <w:tcW w:w="2835" w:type="dxa"/>
            <w:tcBorders>
              <w:top w:val="single" w:sz="4" w:space="0" w:color="auto"/>
              <w:left w:val="single" w:sz="4" w:space="0" w:color="auto"/>
              <w:bottom w:val="single" w:sz="4" w:space="0" w:color="auto"/>
              <w:right w:val="single" w:sz="4" w:space="0" w:color="auto"/>
            </w:tcBorders>
          </w:tcPr>
          <w:p w:rsidR="00305AEB" w:rsidRPr="003B362D" w:rsidRDefault="00305AEB" w:rsidP="00064BAE">
            <w:pPr>
              <w:spacing w:before="120" w:after="120"/>
              <w:rPr>
                <w:bCs/>
                <w:lang w:val="lv-LV"/>
              </w:rPr>
            </w:pPr>
            <w:r w:rsidRPr="003B362D">
              <w:rPr>
                <w:bCs/>
                <w:lang w:val="lv-LV"/>
              </w:rPr>
              <w:t>6. Informācija par konsultācijām ar privātpersonām</w:t>
            </w:r>
          </w:p>
        </w:tc>
        <w:tc>
          <w:tcPr>
            <w:tcW w:w="6237" w:type="dxa"/>
            <w:tcBorders>
              <w:top w:val="single" w:sz="4" w:space="0" w:color="auto"/>
              <w:left w:val="single" w:sz="4" w:space="0" w:color="auto"/>
              <w:bottom w:val="single" w:sz="4" w:space="0" w:color="auto"/>
              <w:right w:val="single" w:sz="4" w:space="0" w:color="auto"/>
            </w:tcBorders>
            <w:vAlign w:val="center"/>
          </w:tcPr>
          <w:p w:rsidR="00305AEB" w:rsidRPr="003B362D" w:rsidRDefault="00305AEB" w:rsidP="00064BAE">
            <w:pPr>
              <w:pStyle w:val="naisnod"/>
              <w:spacing w:before="0" w:after="0"/>
              <w:jc w:val="both"/>
              <w:rPr>
                <w:b w:val="0"/>
                <w:bCs w:val="0"/>
                <w:lang w:eastAsia="en-US"/>
              </w:rPr>
            </w:pPr>
            <w:r w:rsidRPr="003B362D">
              <w:rPr>
                <w:b w:val="0"/>
                <w:bCs w:val="0"/>
                <w:iCs/>
              </w:rPr>
              <w:t>Grozījumi sagatavoti, ievērojot dzīvokļu īpašnieku izteiktos lūgumus.</w:t>
            </w:r>
          </w:p>
        </w:tc>
      </w:tr>
    </w:tbl>
    <w:p w:rsidR="00305AEB" w:rsidRPr="003B362D" w:rsidRDefault="00305AEB" w:rsidP="00305AEB">
      <w:pPr>
        <w:rPr>
          <w:lang w:val="lv-LV"/>
        </w:rPr>
      </w:pPr>
    </w:p>
    <w:p w:rsidR="00305AEB" w:rsidRPr="003B362D" w:rsidRDefault="00305AEB" w:rsidP="00305AEB">
      <w:pPr>
        <w:rPr>
          <w:lang w:val="lv-LV"/>
        </w:rPr>
      </w:pPr>
    </w:p>
    <w:p w:rsidR="00305AEB" w:rsidRPr="003B362D" w:rsidRDefault="00601E65" w:rsidP="00305AEB">
      <w:pPr>
        <w:rPr>
          <w:lang w:val="lv-LV"/>
        </w:rPr>
      </w:pPr>
      <w:r>
        <w:rPr>
          <w:lang w:val="lv-LV"/>
        </w:rPr>
        <w:t>D</w:t>
      </w:r>
      <w:r w:rsidR="00305AEB" w:rsidRPr="003B362D">
        <w:rPr>
          <w:lang w:val="lv-LV"/>
        </w:rPr>
        <w:t>omes priekšsēdētājs</w:t>
      </w:r>
      <w:r w:rsidR="00305AEB" w:rsidRPr="003B362D">
        <w:rPr>
          <w:lang w:val="lv-LV"/>
        </w:rPr>
        <w:tab/>
      </w:r>
      <w:r w:rsidR="00305AEB" w:rsidRPr="003B362D">
        <w:rPr>
          <w:lang w:val="lv-LV"/>
        </w:rPr>
        <w:tab/>
      </w:r>
      <w:r w:rsidR="00116357" w:rsidRPr="00116357">
        <w:rPr>
          <w:i/>
          <w:lang w:val="lv-LV"/>
        </w:rPr>
        <w:t>(personiskais paraksts)</w:t>
      </w:r>
      <w:r>
        <w:rPr>
          <w:lang w:val="lv-LV"/>
        </w:rPr>
        <w:tab/>
      </w:r>
      <w:r>
        <w:rPr>
          <w:lang w:val="lv-LV"/>
        </w:rPr>
        <w:tab/>
        <w:t xml:space="preserve">         </w:t>
      </w:r>
      <w:r w:rsidR="00305AEB" w:rsidRPr="003B362D">
        <w:rPr>
          <w:lang w:val="lv-LV"/>
        </w:rPr>
        <w:t xml:space="preserve"> J.Lāčplēsis</w:t>
      </w:r>
    </w:p>
    <w:p w:rsidR="0073159F" w:rsidRPr="003B362D" w:rsidRDefault="0073159F">
      <w:pPr>
        <w:rPr>
          <w:lang w:val="lv-LV"/>
        </w:rPr>
      </w:pPr>
      <w:bookmarkStart w:id="0" w:name="_GoBack"/>
      <w:bookmarkEnd w:id="0"/>
    </w:p>
    <w:sectPr w:rsidR="0073159F" w:rsidRPr="003B362D" w:rsidSect="003B362D">
      <w:headerReference w:type="default" r:id="rId7"/>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62D" w:rsidRDefault="003B362D" w:rsidP="003B362D">
      <w:r>
        <w:separator/>
      </w:r>
    </w:p>
  </w:endnote>
  <w:endnote w:type="continuationSeparator" w:id="0">
    <w:p w:rsidR="003B362D" w:rsidRDefault="003B362D" w:rsidP="003B3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62D" w:rsidRDefault="003B362D" w:rsidP="003B362D">
      <w:r>
        <w:separator/>
      </w:r>
    </w:p>
  </w:footnote>
  <w:footnote w:type="continuationSeparator" w:id="0">
    <w:p w:rsidR="003B362D" w:rsidRDefault="003B362D" w:rsidP="003B36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8084620"/>
      <w:docPartObj>
        <w:docPartGallery w:val="Page Numbers (Top of Page)"/>
        <w:docPartUnique/>
      </w:docPartObj>
    </w:sdtPr>
    <w:sdtEndPr>
      <w:rPr>
        <w:noProof/>
      </w:rPr>
    </w:sdtEndPr>
    <w:sdtContent>
      <w:p w:rsidR="003B362D" w:rsidRDefault="003B362D">
        <w:pPr>
          <w:pStyle w:val="Header"/>
          <w:jc w:val="center"/>
        </w:pPr>
        <w:r>
          <w:fldChar w:fldCharType="begin"/>
        </w:r>
        <w:r>
          <w:instrText xml:space="preserve"> PAGE   \* MERGEFORMAT </w:instrText>
        </w:r>
        <w:r>
          <w:fldChar w:fldCharType="separate"/>
        </w:r>
        <w:r w:rsidR="00116357">
          <w:rPr>
            <w:noProof/>
          </w:rPr>
          <w:t>2</w:t>
        </w:r>
        <w:r>
          <w:rPr>
            <w:noProof/>
          </w:rPr>
          <w:fldChar w:fldCharType="end"/>
        </w:r>
      </w:p>
    </w:sdtContent>
  </w:sdt>
  <w:p w:rsidR="003B362D" w:rsidRDefault="003B36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AEB"/>
    <w:rsid w:val="000537C3"/>
    <w:rsid w:val="00116357"/>
    <w:rsid w:val="00305AEB"/>
    <w:rsid w:val="003B362D"/>
    <w:rsid w:val="00601E65"/>
    <w:rsid w:val="0073159F"/>
    <w:rsid w:val="008C7497"/>
    <w:rsid w:val="00964CE5"/>
    <w:rsid w:val="00973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B45F9C-8CB2-4E62-BAFE-D715D8514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AE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305AEB"/>
    <w:pPr>
      <w:jc w:val="center"/>
    </w:pPr>
    <w:rPr>
      <w:sz w:val="28"/>
      <w:lang w:val="lv-LV"/>
    </w:rPr>
  </w:style>
  <w:style w:type="character" w:customStyle="1" w:styleId="BodyText2Char">
    <w:name w:val="Body Text 2 Char"/>
    <w:basedOn w:val="DefaultParagraphFont"/>
    <w:link w:val="BodyText2"/>
    <w:rsid w:val="00305AEB"/>
    <w:rPr>
      <w:rFonts w:ascii="Times New Roman" w:eastAsia="Times New Roman" w:hAnsi="Times New Roman" w:cs="Times New Roman"/>
      <w:sz w:val="28"/>
      <w:szCs w:val="24"/>
      <w:lang w:val="lv-LV"/>
    </w:rPr>
  </w:style>
  <w:style w:type="paragraph" w:customStyle="1" w:styleId="naisf">
    <w:name w:val="naisf"/>
    <w:basedOn w:val="Normal"/>
    <w:rsid w:val="00305AEB"/>
    <w:pPr>
      <w:spacing w:before="100" w:beforeAutospacing="1" w:after="100" w:afterAutospacing="1"/>
      <w:jc w:val="both"/>
    </w:pPr>
    <w:rPr>
      <w:rFonts w:eastAsia="Arial Unicode MS"/>
      <w:lang w:val="en-GB"/>
    </w:rPr>
  </w:style>
  <w:style w:type="paragraph" w:customStyle="1" w:styleId="naisnod">
    <w:name w:val="naisnod"/>
    <w:basedOn w:val="Normal"/>
    <w:rsid w:val="00305AEB"/>
    <w:pPr>
      <w:spacing w:before="150" w:after="150"/>
      <w:jc w:val="center"/>
    </w:pPr>
    <w:rPr>
      <w:b/>
      <w:bCs/>
      <w:lang w:val="lv-LV" w:eastAsia="lv-LV"/>
    </w:rPr>
  </w:style>
  <w:style w:type="paragraph" w:customStyle="1" w:styleId="naiskr">
    <w:name w:val="naiskr"/>
    <w:basedOn w:val="Normal"/>
    <w:rsid w:val="00305AEB"/>
    <w:pPr>
      <w:spacing w:before="75" w:after="75"/>
    </w:pPr>
    <w:rPr>
      <w:lang w:val="lv-LV" w:eastAsia="lv-LV"/>
    </w:rPr>
  </w:style>
  <w:style w:type="paragraph" w:customStyle="1" w:styleId="tv2131">
    <w:name w:val="tv2131"/>
    <w:basedOn w:val="Normal"/>
    <w:rsid w:val="00305AEB"/>
    <w:pPr>
      <w:spacing w:line="360" w:lineRule="auto"/>
      <w:ind w:firstLine="300"/>
    </w:pPr>
    <w:rPr>
      <w:color w:val="414142"/>
      <w:sz w:val="20"/>
      <w:szCs w:val="20"/>
      <w:lang w:val="lv-LV" w:eastAsia="lv-LV"/>
    </w:rPr>
  </w:style>
  <w:style w:type="paragraph" w:customStyle="1" w:styleId="tv2132">
    <w:name w:val="tv2132"/>
    <w:basedOn w:val="Normal"/>
    <w:rsid w:val="00305AEB"/>
    <w:pPr>
      <w:spacing w:line="360" w:lineRule="auto"/>
      <w:ind w:firstLine="300"/>
    </w:pPr>
    <w:rPr>
      <w:color w:val="414142"/>
      <w:sz w:val="20"/>
      <w:szCs w:val="20"/>
    </w:rPr>
  </w:style>
  <w:style w:type="paragraph" w:styleId="Header">
    <w:name w:val="header"/>
    <w:basedOn w:val="Normal"/>
    <w:link w:val="HeaderChar"/>
    <w:uiPriority w:val="99"/>
    <w:unhideWhenUsed/>
    <w:rsid w:val="003B362D"/>
    <w:pPr>
      <w:tabs>
        <w:tab w:val="center" w:pos="4153"/>
        <w:tab w:val="right" w:pos="8306"/>
      </w:tabs>
    </w:pPr>
  </w:style>
  <w:style w:type="character" w:customStyle="1" w:styleId="HeaderChar">
    <w:name w:val="Header Char"/>
    <w:basedOn w:val="DefaultParagraphFont"/>
    <w:link w:val="Header"/>
    <w:uiPriority w:val="99"/>
    <w:rsid w:val="003B362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B362D"/>
    <w:pPr>
      <w:tabs>
        <w:tab w:val="center" w:pos="4153"/>
        <w:tab w:val="right" w:pos="8306"/>
      </w:tabs>
    </w:pPr>
  </w:style>
  <w:style w:type="character" w:customStyle="1" w:styleId="FooterChar">
    <w:name w:val="Footer Char"/>
    <w:basedOn w:val="DefaultParagraphFont"/>
    <w:link w:val="Footer"/>
    <w:uiPriority w:val="99"/>
    <w:rsid w:val="003B362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ur-lex.europa.eu/eli/reg/2013/1407?locale=L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2262</Words>
  <Characters>1290</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Lilija Zuromska</dc:creator>
  <cp:keywords/>
  <dc:description/>
  <cp:lastModifiedBy>Ina Skipare</cp:lastModifiedBy>
  <cp:revision>7</cp:revision>
  <cp:lastPrinted>2017-02-06T06:30:00Z</cp:lastPrinted>
  <dcterms:created xsi:type="dcterms:W3CDTF">2017-01-10T10:12:00Z</dcterms:created>
  <dcterms:modified xsi:type="dcterms:W3CDTF">2017-02-13T12:24:00Z</dcterms:modified>
</cp:coreProperties>
</file>